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3C5385F2" wp14:paraId="4CD02B28" wp14:textId="0C2CCCD6">
      <w:pPr>
        <w:spacing w:after="0"/>
        <w:jc w:val="righ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0946DAB9">
        <w:drawing>
          <wp:inline xmlns:wp14="http://schemas.microsoft.com/office/word/2010/wordprocessingDrawing" wp14:editId="0B6EBAFA" wp14:anchorId="66B33835">
            <wp:extent cx="2724150" cy="666750"/>
            <wp:effectExtent l="0" t="0" r="0" b="0"/>
            <wp:docPr id="7077712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07771207" name="Picture 707771207"/>
                    <pic:cNvPicPr/>
                  </pic:nvPicPr>
                  <pic:blipFill>
                    <a:blip xmlns:r="http://schemas.openxmlformats.org/officeDocument/2006/relationships" r:embed="rId153123762">
                      <a:extLst>
                        <a:ext uri="{28A0092B-C50C-407E-A947-70E740481C1C}">
                          <a14:useLocalDpi xmlns:a14="http://schemas.microsoft.com/office/drawing/2010/main"/>
                        </a:ext>
                      </a:extLst>
                    </a:blip>
                    <a:stretch>
                      <a:fillRect/>
                    </a:stretch>
                  </pic:blipFill>
                  <pic:spPr>
                    <a:xfrm>
                      <a:off x="0" y="0"/>
                      <a:ext cx="2724150" cy="666750"/>
                    </a:xfrm>
                    <a:prstGeom prst="rect">
                      <a:avLst/>
                    </a:prstGeom>
                  </pic:spPr>
                </pic:pic>
              </a:graphicData>
            </a:graphic>
          </wp:inline>
        </w:drawing>
      </w:r>
    </w:p>
    <w:p xmlns:wp14="http://schemas.microsoft.com/office/word/2010/wordml" w:rsidP="3C5385F2" wp14:paraId="08EDAA25" wp14:textId="69718592">
      <w:p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36"/>
          <w:szCs w:val="36"/>
          <w:lang w:val="nl-NL"/>
        </w:rPr>
      </w:pPr>
    </w:p>
    <w:p xmlns:wp14="http://schemas.microsoft.com/office/word/2010/wordml" w:rsidP="3C5385F2" wp14:paraId="7BA81678" wp14:textId="61F63F0B">
      <w:pPr>
        <w:pStyle w:val="Heading1"/>
        <w:keepNext w:val="1"/>
        <w:keepLines w:val="1"/>
        <w:spacing w:before="360" w:after="80"/>
        <w:rPr>
          <w:rFonts w:ascii="Calibri" w:hAnsi="Calibri" w:eastAsia="Calibri" w:cs="Calibri" w:asciiTheme="minorAscii" w:hAnsiTheme="minorAscii" w:eastAsiaTheme="minorAscii" w:cstheme="minorAscii"/>
          <w:b w:val="0"/>
          <w:bCs w:val="0"/>
          <w:i w:val="0"/>
          <w:iCs w:val="0"/>
          <w:caps w:val="0"/>
          <w:smallCaps w:val="0"/>
          <w:noProof w:val="0"/>
          <w:color w:val="0F4761" w:themeColor="accent1" w:themeTint="FF" w:themeShade="BF"/>
          <w:sz w:val="40"/>
          <w:szCs w:val="40"/>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F4761" w:themeColor="accent1" w:themeTint="FF" w:themeShade="BF"/>
          <w:sz w:val="40"/>
          <w:szCs w:val="40"/>
          <w:lang w:val="nl-NL"/>
        </w:rPr>
        <w:t>Aanvraag bijwonen met zelfstandige voorzieningen</w:t>
      </w:r>
    </w:p>
    <w:p xmlns:wp14="http://schemas.microsoft.com/office/word/2010/wordml" w:rsidP="3C5385F2" wp14:paraId="71C7A2C1" wp14:textId="641AF2A3">
      <w:pPr>
        <w:pStyle w:val="Heading2"/>
        <w:keepNext w:val="1"/>
        <w:keepLines w:val="1"/>
        <w:spacing w:before="160" w:after="80"/>
        <w:rPr>
          <w:rFonts w:ascii="Calibri" w:hAnsi="Calibri" w:eastAsia="Calibri" w:cs="Calibri" w:asciiTheme="minorAscii" w:hAnsiTheme="minorAscii" w:eastAsiaTheme="minorAscii" w:cstheme="minorAscii"/>
          <w:b w:val="0"/>
          <w:bCs w:val="0"/>
          <w:i w:val="0"/>
          <w:iCs w:val="0"/>
          <w:caps w:val="0"/>
          <w:smallCaps w:val="0"/>
          <w:noProof w:val="0"/>
          <w:color w:val="0F4761" w:themeColor="accent1" w:themeTint="FF" w:themeShade="BF"/>
          <w:sz w:val="32"/>
          <w:szCs w:val="32"/>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F4761" w:themeColor="accent1" w:themeTint="FF" w:themeShade="BF"/>
          <w:sz w:val="32"/>
          <w:szCs w:val="32"/>
          <w:lang w:val="nl-NL"/>
        </w:rPr>
        <w:t>Beleidsregel bijwonen met zelfstandige voorzieningen Gemert-Bakel</w:t>
      </w:r>
    </w:p>
    <w:p xmlns:wp14="http://schemas.microsoft.com/office/word/2010/wordml" w:rsidP="3C5385F2" wp14:paraId="3419AA42" wp14:textId="400F3E60">
      <w:p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8"/>
          <w:szCs w:val="28"/>
          <w:lang w:val="nl-NL"/>
        </w:rPr>
      </w:pPr>
    </w:p>
    <w:p xmlns:wp14="http://schemas.microsoft.com/office/word/2010/wordml" w:rsidP="3C5385F2" wp14:paraId="7E2CB9F5" wp14:textId="56EAFDE6">
      <w:p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nl-NL"/>
        </w:rPr>
      </w:pPr>
      <w:r w:rsidRPr="3C5385F2" w:rsidR="0946DAB9">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nl-NL"/>
        </w:rPr>
        <w:t xml:space="preserve">Aanvraag omgevingsvergunning (afwijken van de regels in het omgevingsplan) voor een BOPA (Buitenplanse OmgevingsPlanActiviteit): </w:t>
      </w:r>
    </w:p>
    <w:p xmlns:wp14="http://schemas.microsoft.com/office/word/2010/wordml" w:rsidP="3C5385F2" wp14:paraId="588EDC5E" wp14:textId="465EA5BB">
      <w:p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nl-NL"/>
        </w:rPr>
      </w:pPr>
      <w:r w:rsidRPr="3C5385F2" w:rsidR="0946DAB9">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2"/>
          <w:szCs w:val="22"/>
          <w:lang w:val="nl-NL"/>
        </w:rPr>
        <w:t>aan te leveren stukken, te toetsen voorwaarden en in te vullen ETFAL-motivering (over een Evenwichtige Toedeling van Functies Aan Locaties)</w:t>
      </w:r>
    </w:p>
    <w:p xmlns:wp14="http://schemas.microsoft.com/office/word/2010/wordml" w:rsidP="3C5385F2" wp14:paraId="0AB5E8B0" wp14:textId="23444D05">
      <w:p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8"/>
          <w:szCs w:val="28"/>
          <w:lang w:val="nl-NL"/>
        </w:rPr>
      </w:pPr>
    </w:p>
    <w:p xmlns:wp14="http://schemas.microsoft.com/office/word/2010/wordml" w:rsidP="3C5385F2" wp14:paraId="662B1566" wp14:textId="37A2CA7B">
      <w:p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8"/>
          <w:szCs w:val="28"/>
          <w:lang w:val="nl-NL"/>
        </w:rPr>
        <w:t>Locatie (straat, huisnummer, postcode en plaats):</w:t>
      </w:r>
    </w:p>
    <w:p xmlns:wp14="http://schemas.microsoft.com/office/word/2010/wordml" w:rsidP="3C5385F2" wp14:paraId="1A919FFC" wp14:textId="52793E73">
      <w:pPr>
        <w:spacing w:after="0"/>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EE0000"/>
          <w:sz w:val="28"/>
          <w:szCs w:val="28"/>
          <w:lang w:val="nl-NL"/>
        </w:rPr>
        <w:t>[invullen]</w:t>
      </w:r>
    </w:p>
    <w:p xmlns:wp14="http://schemas.microsoft.com/office/word/2010/wordml" w:rsidP="3C5385F2" wp14:paraId="060CD740" wp14:textId="5573C7FF">
      <w:p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8"/>
          <w:szCs w:val="28"/>
          <w:lang w:val="nl-NL"/>
        </w:rPr>
      </w:pPr>
    </w:p>
    <w:p xmlns:wp14="http://schemas.microsoft.com/office/word/2010/wordml" w:rsidP="3C5385F2" wp14:paraId="6C8F43B0" wp14:textId="37AE2701">
      <w:pPr>
        <w:pStyle w:val="Heading3"/>
        <w:keepNext w:val="1"/>
        <w:keepLines w:val="1"/>
        <w:spacing w:before="160" w:after="80"/>
        <w:rPr>
          <w:rFonts w:ascii="Calibri" w:hAnsi="Calibri" w:eastAsia="Calibri" w:cs="Calibri" w:asciiTheme="minorAscii" w:hAnsiTheme="minorAscii" w:eastAsiaTheme="minorAscii" w:cstheme="minorAscii"/>
          <w:b w:val="0"/>
          <w:bCs w:val="0"/>
          <w:i w:val="0"/>
          <w:iCs w:val="0"/>
          <w:caps w:val="0"/>
          <w:smallCaps w:val="0"/>
          <w:noProof w:val="0"/>
          <w:color w:val="0F4761" w:themeColor="accent1" w:themeTint="FF" w:themeShade="BF"/>
          <w:sz w:val="28"/>
          <w:szCs w:val="28"/>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F4761" w:themeColor="accent1" w:themeTint="FF" w:themeShade="BF"/>
          <w:sz w:val="28"/>
          <w:szCs w:val="28"/>
          <w:lang w:val="nl-NL"/>
        </w:rPr>
        <w:t>1. Aanvraag via omgevingsloket</w:t>
      </w:r>
    </w:p>
    <w:p xmlns:wp14="http://schemas.microsoft.com/office/word/2010/wordml" w:rsidP="3C5385F2" wp14:paraId="5C3E5562" wp14:textId="1169E2E2">
      <w:p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De aanvraag omgevingsvergunning voor bijwonen met zelfstandige voorzieningen dien je in via het Omgevingsloket. Je kunt deze aanvraag alleen doen als je bewoner en ook eigenaar bent van de hoofdwoning (dit is de woning waarbij het bijwonen wordt gerealiseerd). </w:t>
      </w:r>
    </w:p>
    <w:p xmlns:wp14="http://schemas.microsoft.com/office/word/2010/wordml" w:rsidP="3C5385F2" wp14:paraId="6098A3B8" wp14:textId="5891C6D3">
      <w:p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Je doet de aanvraag op </w:t>
      </w:r>
      <w:hyperlink r:id="R53c34ea77ee34f13">
        <w:r w:rsidRPr="3C5385F2" w:rsidR="0946DAB9">
          <w:rPr>
            <w:rStyle w:val="Hyperlink"/>
            <w:rFonts w:ascii="Calibri" w:hAnsi="Calibri" w:eastAsia="Calibri" w:cs="Calibri" w:asciiTheme="minorAscii" w:hAnsiTheme="minorAscii" w:eastAsiaTheme="minorAscii" w:cstheme="minorAscii"/>
            <w:b w:val="0"/>
            <w:bCs w:val="0"/>
            <w:i w:val="0"/>
            <w:iCs w:val="0"/>
            <w:caps w:val="0"/>
            <w:smallCaps w:val="0"/>
            <w:strike w:val="0"/>
            <w:dstrike w:val="0"/>
            <w:noProof w:val="0"/>
            <w:lang w:val="nl-NL"/>
          </w:rPr>
          <w:t>https://omgevingswet.overheid.nl/aanvragen</w:t>
        </w:r>
      </w:hyperlink>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 door te klikken op ‘Start aanvraag’ onderaan de pagina. Vervolgens </w:t>
      </w: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doorloop je de 7 stappen, die op de pagina zijn beschreven.</w:t>
      </w:r>
    </w:p>
    <w:p xmlns:wp14="http://schemas.microsoft.com/office/word/2010/wordml" w:rsidP="3C5385F2" wp14:paraId="1C1437BE" wp14:textId="683B590C">
      <w:pPr>
        <w:spacing w:after="0"/>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00004B86" wp14:textId="77AD421D">
      <w:pPr>
        <w:pStyle w:val="Heading3"/>
        <w:keepNext w:val="1"/>
        <w:keepLines w:val="1"/>
        <w:spacing w:before="160" w:after="80"/>
        <w:rPr>
          <w:rFonts w:ascii="Calibri" w:hAnsi="Calibri" w:eastAsia="Calibri" w:cs="Calibri" w:asciiTheme="minorAscii" w:hAnsiTheme="minorAscii" w:eastAsiaTheme="minorAscii" w:cstheme="minorAscii"/>
          <w:b w:val="0"/>
          <w:bCs w:val="0"/>
          <w:i w:val="0"/>
          <w:iCs w:val="0"/>
          <w:caps w:val="0"/>
          <w:smallCaps w:val="0"/>
          <w:noProof w:val="0"/>
          <w:color w:val="0F4761" w:themeColor="accent1" w:themeTint="FF" w:themeShade="BF"/>
          <w:sz w:val="28"/>
          <w:szCs w:val="28"/>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F4761" w:themeColor="accent1" w:themeTint="FF" w:themeShade="BF"/>
          <w:sz w:val="28"/>
          <w:szCs w:val="28"/>
          <w:lang w:val="nl-NL"/>
        </w:rPr>
        <w:t>2. Noodzakelijke gegevens en stukken bij de aanvraag omgevingsvergunning BOPA</w:t>
      </w:r>
    </w:p>
    <w:p xmlns:wp14="http://schemas.microsoft.com/office/word/2010/wordml" w:rsidP="3C5385F2" wp14:paraId="5D548E32" wp14:textId="1566AACC">
      <w:p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Bij de aanvraag moet je ook navolgende gegevens en stukken aanleveren. </w:t>
      </w:r>
    </w:p>
    <w:p xmlns:wp14="http://schemas.microsoft.com/office/word/2010/wordml" w:rsidP="3C5385F2" wp14:paraId="75739E7F" wp14:textId="46C55A04">
      <w:pPr>
        <w:spacing w:after="0"/>
        <w:ind w:left="340" w:hanging="340"/>
        <w:rPr>
          <w:rFonts w:ascii="Calibri" w:hAnsi="Calibri" w:eastAsia="Calibri" w:cs="Calibri" w:asciiTheme="minorAscii" w:hAnsiTheme="minorAscii" w:eastAsiaTheme="minorAscii" w:cstheme="minorAscii"/>
          <w:b w:val="0"/>
          <w:bCs w:val="0"/>
          <w:i w:val="0"/>
          <w:iCs w:val="0"/>
          <w:caps w:val="0"/>
          <w:smallCaps w:val="0"/>
          <w:noProof w:val="0"/>
          <w:color w:val="EE0000"/>
          <w:sz w:val="24"/>
          <w:szCs w:val="24"/>
          <w:lang w:val="nl-NL"/>
        </w:rPr>
      </w:pP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r>
        <w:tab/>
      </w: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EE0000"/>
          <w:sz w:val="24"/>
          <w:szCs w:val="24"/>
          <w:lang w:val="nl-NL"/>
        </w:rPr>
        <w:t>Doorhalen indien in jouw geval niet van toepassing.</w:t>
      </w:r>
    </w:p>
    <w:p xmlns:wp14="http://schemas.microsoft.com/office/word/2010/wordml" w:rsidP="3C5385F2" wp14:paraId="01CB7C96" wp14:textId="6234DC4B">
      <w:p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1B879942" wp14:textId="1131AE60">
      <w:pPr>
        <w:pStyle w:val="ListParagraph"/>
        <w:numPr>
          <w:ilvl w:val="0"/>
          <w:numId w:val="1"/>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Bewijs dat je eigenaar bent van het perceel van de woning, waarbij je het bijwonen wilt realiseren. Dit kan door een scan (pdf) van een recent kadastraal uittreksel als bijlage toe te voegen inclusief de originele eigendomsakte. Indien van toepassing moet je ook een scan (pdf) van een bewijs dat je gerechtigd bent om de aanvraag te doen toevoegen. Bijvoorbeeld doordat je niet de enige eigenaar bent van het perceel. Daartoe voeg je een ondertekende verklaring toe, waarin andere eigenaren of belanghebbenden verklaren dat je de aanvraag omgevingsvergunning mag doen.</w:t>
      </w:r>
    </w:p>
    <w:p xmlns:wp14="http://schemas.microsoft.com/office/word/2010/wordml" w:rsidP="3C5385F2" wp14:paraId="72FF0D39" wp14:textId="630B8977">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Om hieraan te voldoen heb ik toegevoegd: </w:t>
      </w:r>
    </w:p>
    <w:p xmlns:wp14="http://schemas.microsoft.com/office/word/2010/wordml" w:rsidP="3C5385F2" wp14:paraId="78FFD7CE" wp14:textId="59EA4FDF">
      <w:pPr>
        <w:pStyle w:val="ListParagraph"/>
        <w:numPr>
          <w:ilvl w:val="0"/>
          <w:numId w:val="2"/>
        </w:numPr>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Bewijs van eigendom perceel woning; </w:t>
      </w: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p>
    <w:p xmlns:wp14="http://schemas.microsoft.com/office/word/2010/wordml" w:rsidP="3C5385F2" wp14:paraId="787665CF" wp14:textId="382AE790">
      <w:pPr>
        <w:pStyle w:val="ListParagraph"/>
        <w:numPr>
          <w:ilvl w:val="0"/>
          <w:numId w:val="2"/>
        </w:numPr>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Verklaring dat aanvrager gerechtigd is om aanvraag te doen. </w:t>
      </w: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p>
    <w:p xmlns:wp14="http://schemas.microsoft.com/office/word/2010/wordml" w:rsidP="3C5385F2" wp14:paraId="6DA0153E" wp14:textId="0215352A">
      <w:p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1EFD7676" wp14:textId="1CB36344">
      <w:pPr>
        <w:pStyle w:val="ListParagraph"/>
        <w:numPr>
          <w:ilvl w:val="0"/>
          <w:numId w:val="1"/>
        </w:numPr>
        <w:ind w:left="357" w:hanging="35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De ondertekende verklaring over onder andere de gevolgen en verplichtingen na afloop van de instandhoudingstermijn. Het bijwonen mag alleen tijdelijk worden gerealiseerd. De instandhoudingstermijn is de periode dat het bijwonen mag plaatsvinden. Deze verklaring is als bijlage bij dit overzicht van aan te leveren stukken en in te vullen ETFAL-motivering toegezonden. </w:t>
      </w:r>
    </w:p>
    <w:p xmlns:wp14="http://schemas.microsoft.com/office/word/2010/wordml" w:rsidP="3C5385F2" wp14:paraId="41C4A464" wp14:textId="322715DD">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De gevraagde verklaring heb ik ondertekend en toegevoegd. </w:t>
      </w: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p>
    <w:p xmlns:wp14="http://schemas.microsoft.com/office/word/2010/wordml" w:rsidP="3C5385F2" wp14:paraId="42B87F57" wp14:textId="73F5E04F">
      <w:p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3B448500" wp14:textId="5BC805F7">
      <w:pPr>
        <w:pStyle w:val="ListParagraph"/>
        <w:numPr>
          <w:ilvl w:val="0"/>
          <w:numId w:val="1"/>
        </w:numPr>
        <w:ind w:left="357" w:hanging="35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Het bijwonen moet plaatsvinden in een levensloopbestendig gebouw. Levensloopbestendig betekent dat het gebouw voor het bijwonen is aangepast – geschikt is, zodat de bewoner er lang zelfstandig kan blijven wonen. De woonkamer, keuken, één of meer slaapkamers, badkamer en het toilet bevinden zich op de begane grond en zijn daardoor zonder traplopen te bereiken. De kamers zijn makkelijk te bereiken met een rollator of rolstoel, doordat er geen drempels of opstappen zijn of deze heel laag zijn. Het gebouw zelf is op vergelijkbare wijze ook makkelijk te bereiken.</w:t>
      </w:r>
    </w:p>
    <w:p xmlns:wp14="http://schemas.microsoft.com/office/word/2010/wordml" w:rsidP="3C5385F2" wp14:paraId="44F9258B" wp14:textId="5B2BCC93">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Om dit aan te tonen heb ik informatie (bijvoorbeeld plattegrond van het gebouw voor het bijwonen of folder van de bouwer van het gebouw) toegevoegd. </w:t>
      </w: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p>
    <w:p xmlns:wp14="http://schemas.microsoft.com/office/word/2010/wordml" w:rsidP="3C5385F2" wp14:paraId="4382A647" wp14:textId="2D497A49">
      <w:p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578E4AF2" wp14:textId="2C76FF92">
      <w:pPr>
        <w:pStyle w:val="ListParagraph"/>
        <w:numPr>
          <w:ilvl w:val="0"/>
          <w:numId w:val="1"/>
        </w:num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Een plattegrond van de bestaande situatie van het gebouw, waarin het bijwonen wordt gerealiseerd (indien van toepassing). De tekening is op schaal en op de tekening zijn de ‘gebruiksoppervlakte in m²’ en de ‘bruto inhoud in m</w:t>
      </w: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vertAlign w:val="superscript"/>
          <w:lang w:val="nl-NL"/>
        </w:rPr>
        <w:t>3</w:t>
      </w: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van het gebouw aangegeven. Hierbij het advies deze tekening te laten maken door een bouwkundig tekenaar of adviseur.</w:t>
      </w:r>
    </w:p>
    <w:p xmlns:wp14="http://schemas.microsoft.com/office/word/2010/wordml" w:rsidP="3C5385F2" wp14:paraId="5C53A26E" wp14:textId="727DAB4D">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De gevraagde plattegrond heb ik laten maken en toegevoegd. </w:t>
      </w: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p>
    <w:p xmlns:wp14="http://schemas.microsoft.com/office/word/2010/wordml" w:rsidP="3C5385F2" wp14:paraId="3FFCAECC" wp14:textId="53B7519F">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2EA09038" wp14:textId="4C75E1AE">
      <w:pPr>
        <w:pStyle w:val="ListParagraph"/>
        <w:numPr>
          <w:ilvl w:val="0"/>
          <w:numId w:val="1"/>
        </w:num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Een plattegrond van de nieuwe situatie van het gebouw, waarin het bijwonen wordt gerealiseerd. De tekening is op schaal en op de tekening zijn de ‘gebruiksoppervlakte in m²’, de ‘bruto inhoud in m</w:t>
      </w: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vertAlign w:val="superscript"/>
          <w:lang w:val="nl-NL"/>
        </w:rPr>
        <w:t>3</w:t>
      </w: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en de plekken waar de rookmelders komen aangegeven. Hierbij het advies deze tekening te laten maken door een bouwkundig tekenaar of adviseur.</w:t>
      </w:r>
    </w:p>
    <w:p xmlns:wp14="http://schemas.microsoft.com/office/word/2010/wordml" w:rsidP="3C5385F2" wp14:paraId="2E938F6D" wp14:textId="48FD7977">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De gevraagde plattegrond heb ik laten maken en toegevoegd. </w:t>
      </w: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p>
    <w:p xmlns:wp14="http://schemas.microsoft.com/office/word/2010/wordml" w:rsidP="3C5385F2" wp14:paraId="2500D3E2" wp14:textId="59D0E1C6">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5367DCF9" wp14:textId="7FCE5940">
      <w:pPr>
        <w:pStyle w:val="ListParagraph"/>
        <w:numPr>
          <w:ilvl w:val="0"/>
          <w:numId w:val="1"/>
        </w:num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Geveltekeningen van het gebouw, waarin het bijwonen wordt gerealiseerd, met daarop aangegeven de hoogtematen van het gebouw. Hierbij het advies deze tekening te laten maken door een bouwkundig tekenaar of adviseur.</w:t>
      </w:r>
    </w:p>
    <w:p xmlns:wp14="http://schemas.microsoft.com/office/word/2010/wordml" w:rsidP="3C5385F2" wp14:paraId="2709B4E2" wp14:textId="07FB9188">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De gevraagde geveltekeningen heb ik laten maken en toegevoegd. </w:t>
      </w: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p>
    <w:p xmlns:wp14="http://schemas.microsoft.com/office/word/2010/wordml" w:rsidP="3C5385F2" wp14:paraId="6AC430CA" wp14:textId="5B5FB3AB">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0860043A" wp14:textId="75277295">
      <w:pPr>
        <w:pStyle w:val="ListParagraph"/>
        <w:numPr>
          <w:ilvl w:val="0"/>
          <w:numId w:val="1"/>
        </w:num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Een situatietekening van het gehele perceel in de nieuwe situatie met daarop aangegeven de hoofdwoning en het gebouw, waarin het bijwonen wordt gerealiseerd. Verder moeten op de tekening zijn aangegeven:</w:t>
      </w:r>
    </w:p>
    <w:p xmlns:wp14="http://schemas.microsoft.com/office/word/2010/wordml" w:rsidP="3C5385F2" wp14:paraId="451834AA" wp14:textId="3378808E">
      <w:pPr>
        <w:pStyle w:val="ListParagraph"/>
        <w:numPr>
          <w:ilvl w:val="0"/>
          <w:numId w:val="4"/>
        </w:numPr>
        <w:spacing w:after="0"/>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Alle verder aanwezige bebouwing op het perceel, zoals bijgebouwen en overkappingen;</w:t>
      </w:r>
    </w:p>
    <w:p xmlns:wp14="http://schemas.microsoft.com/office/word/2010/wordml" w:rsidP="3C5385F2" wp14:paraId="747F4FAD" wp14:textId="6730AFA0">
      <w:pPr>
        <w:pStyle w:val="ListParagraph"/>
        <w:numPr>
          <w:ilvl w:val="0"/>
          <w:numId w:val="4"/>
        </w:numPr>
        <w:spacing w:after="0"/>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De afmetingen van het perceel en het bebouwd oppervlak van het gebouwerf (het perceel(sgedeelte) dat direct is gelegen bij de hoofdwoning en als tuin of erf bij die woning in gebruik is);</w:t>
      </w:r>
    </w:p>
    <w:p xmlns:wp14="http://schemas.microsoft.com/office/word/2010/wordml" w:rsidP="3C5385F2" wp14:paraId="06EB9201" wp14:textId="79EF0C6C">
      <w:pPr>
        <w:pStyle w:val="ListParagraph"/>
        <w:numPr>
          <w:ilvl w:val="0"/>
          <w:numId w:val="4"/>
        </w:numPr>
        <w:spacing w:after="0"/>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De situering van het gebouw voor het bijwonen ten opzichte van de perceelsgrenzen en de openbare weg;</w:t>
      </w:r>
    </w:p>
    <w:p xmlns:wp14="http://schemas.microsoft.com/office/word/2010/wordml" w:rsidP="3C5385F2" wp14:paraId="34DD4B3E" wp14:textId="23F89960">
      <w:pPr>
        <w:pStyle w:val="ListParagraph"/>
        <w:numPr>
          <w:ilvl w:val="0"/>
          <w:numId w:val="4"/>
        </w:numPr>
        <w:spacing w:after="0"/>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Op welke wijze de hoofdwoning en het gebouw voor het bijwonen via een inrit vanaf de openbare weg bereikbaar zijn;</w:t>
      </w:r>
    </w:p>
    <w:p xmlns:wp14="http://schemas.microsoft.com/office/word/2010/wordml" w:rsidP="3C5385F2" wp14:paraId="31575EF2" wp14:textId="57F33DAD">
      <w:pPr>
        <w:pStyle w:val="ListParagraph"/>
        <w:numPr>
          <w:ilvl w:val="0"/>
          <w:numId w:val="4"/>
        </w:numPr>
        <w:spacing w:after="0"/>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De bestaande parkeer- en opstelplaatsen bij de hoofdwoning en de nieuwe parkeerplaatsen bij het gebouw voor het bijwonen, voor zowel auto’s, fietsen als afvalcontainers.</w:t>
      </w:r>
    </w:p>
    <w:p xmlns:wp14="http://schemas.microsoft.com/office/word/2010/wordml" w:rsidP="3C5385F2" wp14:paraId="1EF8EE28" wp14:textId="65407086">
      <w:pPr>
        <w:spacing w:after="0"/>
        <w:ind w:left="37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Hierbij het advies deze tekening te laten maken door een bouwkundig tekenaar of adviseur.</w:t>
      </w:r>
    </w:p>
    <w:p xmlns:wp14="http://schemas.microsoft.com/office/word/2010/wordml" w:rsidP="3C5385F2" wp14:paraId="0B569C85" wp14:textId="5137239F">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De gevraagde situatietekening heb ik laten maken en toegevoegd. </w:t>
      </w: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p>
    <w:p xmlns:wp14="http://schemas.microsoft.com/office/word/2010/wordml" w:rsidP="3C5385F2" wp14:paraId="45BFFF53" wp14:textId="79E0BA95">
      <w:pPr>
        <w:spacing w:after="0"/>
        <w:ind w:left="37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27718493" wp14:textId="0320111E">
      <w:pPr>
        <w:pStyle w:val="ListParagraph"/>
        <w:numPr>
          <w:ilvl w:val="0"/>
          <w:numId w:val="1"/>
        </w:num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De persoons – en contactgegevens van de personen die gaan bijwonen (naam, huidig woonadres, mailadres, telefoonnummer).</w:t>
      </w:r>
    </w:p>
    <w:p xmlns:wp14="http://schemas.microsoft.com/office/word/2010/wordml" w:rsidP="3C5385F2" wp14:paraId="0896AC61" wp14:textId="4D28CA95">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Een overzicht met de gevraagde gegevens heb ik toegevoegd. </w:t>
      </w: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p>
    <w:p xmlns:wp14="http://schemas.microsoft.com/office/word/2010/wordml" w:rsidP="3C5385F2" wp14:paraId="15D102DC" wp14:textId="3A72FB2C">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3033E737" wp14:textId="736CCE69">
      <w:pPr>
        <w:pStyle w:val="ListParagraph"/>
        <w:numPr>
          <w:ilvl w:val="0"/>
          <w:numId w:val="1"/>
        </w:num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Het ingevulde formulier omgevingsdialoog met daarin een gespreksverslag van de omgevingsdialoog met belanghebbenden, zoals omwonenden en/of eigenaren en gebruikers van omliggende percelen. Dit formulier is als bijlage bij dit overzicht van aan te leveren stukken en in te vullen ETFAL-motivering toegezonden.</w:t>
      </w:r>
    </w:p>
    <w:p xmlns:wp14="http://schemas.microsoft.com/office/word/2010/wordml" w:rsidP="3C5385F2" wp14:paraId="345D0DA3" wp14:textId="5C278257">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Het ingevulde formulier omgevingsdialoog heb ik toegevoegd. </w:t>
      </w: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 xml:space="preserve">* </w:t>
      </w:r>
    </w:p>
    <w:p xmlns:wp14="http://schemas.microsoft.com/office/word/2010/wordml" w:rsidP="3C5385F2" wp14:paraId="39E1D060" wp14:textId="4E210A9A">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44B7B692" wp14:textId="42F8EA09">
      <w:pPr>
        <w:pStyle w:val="ListParagraph"/>
        <w:numPr>
          <w:ilvl w:val="0"/>
          <w:numId w:val="1"/>
        </w:num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Het bijwonen wordt alleen toegestaan als je daarvoor een nadeelcompensatie verhaalsovereenkomst hebt ondertekend. Door ondertekening van deze overeenkomst ga je ermee akkoord, dat door de gemeente aan belanghebbenden in verband met het toestaan van het bijwonen eventueel uit te keren nadeelcompensatie (planschade), voor jouw rekening komt.</w:t>
      </w:r>
    </w:p>
    <w:p xmlns:wp14="http://schemas.microsoft.com/office/word/2010/wordml" w:rsidP="3C5385F2" wp14:paraId="649A8A0A" wp14:textId="2C8AF814">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Ik verzoek om toezending van de te ondertekenen nadeelcompensatie verhaalsovereenkomst. </w:t>
      </w: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p>
    <w:p xmlns:wp14="http://schemas.microsoft.com/office/word/2010/wordml" w:rsidP="3C5385F2" wp14:paraId="2220BC85" wp14:textId="248CE9B9">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27421062" wp14:textId="7C05D4EB">
      <w:pPr>
        <w:pStyle w:val="ListParagraph"/>
        <w:numPr>
          <w:ilvl w:val="0"/>
          <w:numId w:val="1"/>
        </w:num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Het gebouw, waarin het bijwonen wordt gerealiseerd, kan tijdelijk een eigen huisnummer krijgen vanuit de Basisregistratie Adressen en Gebouwen (BAG).</w:t>
      </w:r>
    </w:p>
    <w:p xmlns:wp14="http://schemas.microsoft.com/office/word/2010/wordml" w:rsidP="3C5385F2" wp14:paraId="30A4CF85" wp14:textId="35ECBB71">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Ik verzoek om een eigen tijdelijk huisnummer voor het gebouw, waarin het bijwonen wordt gerealiseerd. </w:t>
      </w: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p>
    <w:p xmlns:wp14="http://schemas.microsoft.com/office/word/2010/wordml" w:rsidP="3C5385F2" wp14:paraId="16637A76" wp14:textId="3072477F">
      <w:p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31A4CDFC" wp14:textId="13982DFE">
      <w:pPr>
        <w:pStyle w:val="Heading3"/>
        <w:keepNext w:val="1"/>
        <w:keepLines w:val="1"/>
        <w:spacing w:before="160" w:after="80"/>
        <w:rPr>
          <w:rFonts w:ascii="Calibri" w:hAnsi="Calibri" w:eastAsia="Calibri" w:cs="Calibri" w:asciiTheme="minorAscii" w:hAnsiTheme="minorAscii" w:eastAsiaTheme="minorAscii" w:cstheme="minorAscii"/>
          <w:b w:val="0"/>
          <w:bCs w:val="0"/>
          <w:i w:val="0"/>
          <w:iCs w:val="0"/>
          <w:caps w:val="0"/>
          <w:smallCaps w:val="0"/>
          <w:noProof w:val="0"/>
          <w:color w:val="0F4761" w:themeColor="accent1" w:themeTint="FF" w:themeShade="BF"/>
          <w:sz w:val="28"/>
          <w:szCs w:val="28"/>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F4761" w:themeColor="accent1" w:themeTint="FF" w:themeShade="BF"/>
          <w:sz w:val="28"/>
          <w:szCs w:val="28"/>
          <w:lang w:val="nl-NL"/>
        </w:rPr>
        <w:t>3. Voorwaarden bijwonen met zelfstandige voorzieningen</w:t>
      </w:r>
    </w:p>
    <w:p xmlns:wp14="http://schemas.microsoft.com/office/word/2010/wordml" w:rsidP="3C5385F2" wp14:paraId="28F1B998" wp14:textId="74C2789D">
      <w:p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Om te beoordelen of de aanvraag aan de voorwaarden voor het bijwonen met zelfstandige voorzieningen voldoet, moet je onderstaande vragen beantwoorden.</w:t>
      </w:r>
    </w:p>
    <w:p xmlns:wp14="http://schemas.microsoft.com/office/word/2010/wordml" w:rsidP="3C5385F2" wp14:paraId="742A5D47" wp14:textId="37FCE65B">
      <w:pPr>
        <w:spacing w:after="0"/>
        <w:ind w:left="340" w:hanging="340"/>
        <w:rPr>
          <w:rFonts w:ascii="Calibri" w:hAnsi="Calibri" w:eastAsia="Calibri" w:cs="Calibri" w:asciiTheme="minorAscii" w:hAnsiTheme="minorAscii" w:eastAsiaTheme="minorAscii" w:cstheme="minorAscii"/>
          <w:b w:val="0"/>
          <w:bCs w:val="0"/>
          <w:i w:val="0"/>
          <w:iCs w:val="0"/>
          <w:caps w:val="0"/>
          <w:smallCaps w:val="0"/>
          <w:noProof w:val="0"/>
          <w:color w:val="EE0000"/>
          <w:sz w:val="24"/>
          <w:szCs w:val="24"/>
          <w:lang w:val="nl-NL"/>
        </w:rPr>
      </w:pP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r>
        <w:tab/>
      </w: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EE0000"/>
          <w:sz w:val="24"/>
          <w:szCs w:val="24"/>
          <w:lang w:val="nl-NL"/>
        </w:rPr>
        <w:t>Aanvullen met de op jouw geval betrekking hebbende gegevens of doorhalen wat in jouw geval niet van toepassing is.</w:t>
      </w:r>
    </w:p>
    <w:p xmlns:wp14="http://schemas.microsoft.com/office/word/2010/wordml" w:rsidP="3C5385F2" wp14:paraId="557F00AA" wp14:textId="0CB4CE91">
      <w:p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492478D9" wp14:textId="2CCFFE33">
      <w:pPr>
        <w:pStyle w:val="ListParagraph"/>
        <w:numPr>
          <w:ilvl w:val="0"/>
          <w:numId w:val="6"/>
        </w:num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Waarvoor zal het bijwonen gebruikt worden: </w:t>
      </w:r>
    </w:p>
    <w:p xmlns:wp14="http://schemas.microsoft.com/office/word/2010/wordml" w:rsidP="3C5385F2" wp14:paraId="13228799" wp14:textId="5FF15100">
      <w:pPr>
        <w:pStyle w:val="ListParagraph"/>
        <w:numPr>
          <w:ilvl w:val="0"/>
          <w:numId w:val="7"/>
        </w:num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Voor mantelzorg (mantelzorgverklaring noodzakelijk); </w:t>
      </w:r>
    </w:p>
    <w:p xmlns:wp14="http://schemas.microsoft.com/office/word/2010/wordml" w:rsidP="3C5385F2" wp14:paraId="33607961" wp14:textId="582C3E4B">
      <w:pPr>
        <w:pStyle w:val="ListParagraph"/>
        <w:numPr>
          <w:ilvl w:val="0"/>
          <w:numId w:val="7"/>
        </w:num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Voor pre-mantelzorg (door het bereiken van de AOW-leeftijd is op termijn mogelijkerwijs mantelzorg aan de orde is, geen mantelzorgverklaring noodzakelijk); </w:t>
      </w:r>
    </w:p>
    <w:p xmlns:wp14="http://schemas.microsoft.com/office/word/2010/wordml" w:rsidP="3C5385F2" wp14:paraId="63C34046" wp14:textId="34043B1C">
      <w:pPr>
        <w:pStyle w:val="ListParagraph"/>
        <w:numPr>
          <w:ilvl w:val="0"/>
          <w:numId w:val="7"/>
        </w:num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Voor familiewonen (huisvesting/wonen door familieleden in de eerste graad); </w:t>
      </w:r>
    </w:p>
    <w:p xmlns:wp14="http://schemas.microsoft.com/office/word/2010/wordml" w:rsidP="3C5385F2" wp14:paraId="7CA89104" wp14:textId="7D92B124">
      <w:pPr>
        <w:pStyle w:val="ListParagraph"/>
        <w:numPr>
          <w:ilvl w:val="0"/>
          <w:numId w:val="7"/>
        </w:num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Voor bewoning door derden niet zijnde familiewonen. </w:t>
      </w:r>
    </w:p>
    <w:p xmlns:wp14="http://schemas.microsoft.com/office/word/2010/wordml" w:rsidP="3C5385F2" wp14:paraId="59DB5590" wp14:textId="3A43EA38">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Door hoeveel personen zal er bijgewoond worden (maximaal 2 personen)?</w:t>
      </w:r>
    </w:p>
    <w:p xmlns:wp14="http://schemas.microsoft.com/office/word/2010/wordml" w:rsidP="3C5385F2" wp14:paraId="46DA0F15" wp14:textId="3324960F">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Wat is de onderlinge relatie tussen die personen en de relatie met het huishouden van de hoofdwoning?</w:t>
      </w:r>
    </w:p>
    <w:p xmlns:wp14="http://schemas.microsoft.com/office/word/2010/wordml" w:rsidP="3C5385F2" wp14:paraId="21F33920" wp14:textId="0D52B389">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53BB542F" wp14:textId="0C6A5A64">
      <w:pPr>
        <w:pStyle w:val="ListParagraph"/>
        <w:numPr>
          <w:ilvl w:val="0"/>
          <w:numId w:val="8"/>
        </w:num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Let op: het gebouw voor het bijwonen mag alleen zelfstandig door een huishouden bewoond worden, er mag geen bedrijfsmatige of sociaal-maatschappelijke zorgverlening plaatsvinden (zoals woon-zorgactiviteiten, begeleid wonen, verslaafdenopvang).</w:t>
      </w:r>
    </w:p>
    <w:p xmlns:wp14="http://schemas.microsoft.com/office/word/2010/wordml" w:rsidP="3C5385F2" wp14:paraId="12E8F514" wp14:textId="1C47BBE8">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600FA2A6" wp14:textId="477609FF">
      <w:pPr>
        <w:pStyle w:val="ListParagraph"/>
        <w:numPr>
          <w:ilvl w:val="0"/>
          <w:numId w:val="8"/>
        </w:num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Let op: het gebruik van het gebouw voor het bijwonen voor bovenstaande gebruiksvormen is tijdelijk. Het gebouw, waarin het bijwonen wordt gerealiseerd, mag voor maximaal 15 jaren na het onherroepelijk worden van het besluit op de vergunningaanvraag voor het bijwonen gebruikt worden.</w:t>
      </w:r>
    </w:p>
    <w:p xmlns:wp14="http://schemas.microsoft.com/office/word/2010/wordml" w:rsidP="3C5385F2" wp14:paraId="4D52AC30" wp14:textId="420B86EC">
      <w:pPr>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23291C34" wp14:textId="06F4494C">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Het bijwonen zal plaatsvinden in de vorm van mantelzorg/ pre-mantelzorg/ familiewonen/ bewoning door derden. </w:t>
      </w: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p>
    <w:p xmlns:wp14="http://schemas.microsoft.com/office/word/2010/wordml" w:rsidP="3C5385F2" wp14:paraId="7CF39789" wp14:textId="61AF0314">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Het bijwonen zal worden gerealiseerd voor ... persoon/ personen. </w:t>
      </w: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p>
    <w:p xmlns:wp14="http://schemas.microsoft.com/office/word/2010/wordml" w:rsidP="3C5385F2" wp14:paraId="2A617EED" wp14:textId="48E2A4CF">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Hun onderlinge relatie (bij 2 personen) is … </w:t>
      </w: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p>
    <w:p xmlns:wp14="http://schemas.microsoft.com/office/word/2010/wordml" w:rsidP="3C5385F2" wp14:paraId="7D2D4C9E" wp14:textId="5733C005">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De relatie met het huishouden van de hoofdwoning is … </w:t>
      </w: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p>
    <w:p xmlns:wp14="http://schemas.microsoft.com/office/word/2010/wordml" w:rsidP="3C5385F2" wp14:paraId="4739723A" wp14:textId="01F10D19">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2BF7449C" wp14:textId="4FB38F47">
      <w:pPr>
        <w:pStyle w:val="ListParagraph"/>
        <w:numPr>
          <w:ilvl w:val="0"/>
          <w:numId w:val="6"/>
        </w:numPr>
        <w:spacing w:after="0"/>
        <w:ind w:left="357" w:hanging="35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Is er op het perceel van de hoofdwoning nu al sprake van een mantelzorgwoning of andere mantelzorgvoorziening?</w:t>
      </w:r>
    </w:p>
    <w:p xmlns:wp14="http://schemas.microsoft.com/office/word/2010/wordml" w:rsidP="3C5385F2" wp14:paraId="0659EB73" wp14:textId="066ADBDF">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Op het perceel van de hoofdwoning is nu … </w:t>
      </w: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p>
    <w:p xmlns:wp14="http://schemas.microsoft.com/office/word/2010/wordml" w:rsidP="3C5385F2" wp14:paraId="038BBC8C" wp14:textId="44CEC7F6">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37A5C5C0" wp14:textId="7AAB0C35">
      <w:pPr>
        <w:pStyle w:val="ListParagraph"/>
        <w:numPr>
          <w:ilvl w:val="0"/>
          <w:numId w:val="6"/>
        </w:num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Indien een bestaand bouwwerk voor het bijwonen wordt gebruikt: wat is het huidige gebruik van dit bouwwerk en de daarbij horende gronden?</w:t>
      </w:r>
    </w:p>
    <w:p xmlns:wp14="http://schemas.microsoft.com/office/word/2010/wordml" w:rsidP="3C5385F2" wp14:paraId="2B10282F" wp14:textId="5AE0592F">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Het bouwwerk en de bijbehorende gronden worden gebruikt voor … </w:t>
      </w: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p>
    <w:p xmlns:wp14="http://schemas.microsoft.com/office/word/2010/wordml" w:rsidP="3C5385F2" wp14:paraId="3FF718BE" wp14:textId="6E51B461">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1C1453B8" wp14:textId="27B0762F">
      <w:pPr>
        <w:pStyle w:val="ListParagraph"/>
        <w:numPr>
          <w:ilvl w:val="0"/>
          <w:numId w:val="6"/>
        </w:num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Is het gebouw, waarin het bijwonen wordt gerealiseerd, gelegen op het erf van de hoofdwoning en alleen via de bestaande inrit/ erftoegang bij de hoofdwoning bereikbaar? Het erf mag niet gesplitst worden in een erf bij de hoofdwoning en een erf bij het gebouw, waarin het bijwonen wordt gerealiseerd, met ieder een eigen inrit/ erftoegang.</w:t>
      </w:r>
    </w:p>
    <w:p xmlns:wp14="http://schemas.microsoft.com/office/word/2010/wordml" w:rsidP="3C5385F2" wp14:paraId="49E74629" wp14:textId="2975C8B1">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Het gebouw voor het bijwonen </w:t>
      </w: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wordt gerealiseerd op … </w:t>
      </w: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p>
    <w:p xmlns:wp14="http://schemas.microsoft.com/office/word/2010/wordml" w:rsidP="3C5385F2" wp14:paraId="5A8A7AFB" wp14:textId="37DC1BBC">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Het gebouw voor het bijwonen is bereikbaar via … </w:t>
      </w: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p>
    <w:p xmlns:wp14="http://schemas.microsoft.com/office/word/2010/wordml" w:rsidP="3C5385F2" wp14:paraId="05243DDA" wp14:textId="70D5E6EA">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4FD02C05" wp14:textId="1E03C259">
      <w:pPr>
        <w:pStyle w:val="ListParagraph"/>
        <w:numPr>
          <w:ilvl w:val="0"/>
          <w:numId w:val="6"/>
        </w:num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Zijn er voor de hoofdwoning en het bijwonen samen voldoende parkeerplaatsen aanwezig op eigen erf? Het benodigde aantal parkeerplaatsen wordt getoetst aan de “Nota Parkeernormen Gemert-Bakel 2017” of een daarvoor in de plaats tredend beleidskader, ten tijde van het besluit op de aanvraag. Binnen de huidige beleidsregels voor parkeren (Nota parkeernormen Gemert-Bakel 2017) hanteren we voor bijwonen met zelfstandige voorzieningen de parkeernorm voor een 'aanleunwoning’. Het gebruik in deze categorie is vergelijkbaar met bijwonen. De Nota Parkeernormen is terug te vinden op de pagina Beleidsnota’s op de website </w:t>
      </w:r>
      <w:hyperlink r:id="R2f4691e1e01c4c23">
        <w:r w:rsidRPr="3C5385F2" w:rsidR="0946DAB9">
          <w:rPr>
            <w:rStyle w:val="Hyperlink"/>
            <w:rFonts w:ascii="Calibri" w:hAnsi="Calibri" w:eastAsia="Calibri" w:cs="Calibri" w:asciiTheme="minorAscii" w:hAnsiTheme="minorAscii" w:eastAsiaTheme="minorAscii" w:cstheme="minorAscii"/>
            <w:b w:val="0"/>
            <w:bCs w:val="0"/>
            <w:i w:val="0"/>
            <w:iCs w:val="0"/>
            <w:caps w:val="0"/>
            <w:smallCaps w:val="0"/>
            <w:strike w:val="0"/>
            <w:dstrike w:val="0"/>
            <w:noProof w:val="0"/>
            <w:lang w:val="nl-NL"/>
          </w:rPr>
          <w:t>Beleidsnota's | Gemeente Gemert-Bakel</w:t>
        </w:r>
      </w:hyperlink>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w:t>
      </w: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nl-NL"/>
        </w:rPr>
        <w:t xml:space="preserve"> </w:t>
      </w:r>
    </w:p>
    <w:p xmlns:wp14="http://schemas.microsoft.com/office/word/2010/wordml" w:rsidP="3C5385F2" wp14:paraId="68E4B06E" wp14:textId="69C03154">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Op basis van de gemeentelijke nota parkeernormen zijn bij de hoofdwoning, gelegen in het gebiedsprofiel … (zie Nota Parkeernormen, bijlage 1 parkeernormen per gebiedsprofiel), … parkeerplaatsen noodzakelijk en voor het bijwonen 1,1(bebouwde kom) of 1,2 (buitengebied) parkeerplaatsen. </w:t>
      </w: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p>
    <w:p xmlns:wp14="http://schemas.microsoft.com/office/word/2010/wordml" w:rsidP="3C5385F2" wp14:paraId="32543C1D" wp14:textId="1C254791">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Op het eigen erf zijn voor de hoofdwoning en het bijwonen samen … parkeerplaatsen aanwezig. Daarmee wordt voldaan aan de parkeernormen. </w:t>
      </w: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p>
    <w:p xmlns:wp14="http://schemas.microsoft.com/office/word/2010/wordml" w:rsidP="3C5385F2" wp14:paraId="4804207C" wp14:textId="005F083A">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0D872D6D" wp14:textId="60BD5E60">
      <w:pPr>
        <w:pStyle w:val="ListParagraph"/>
        <w:numPr>
          <w:ilvl w:val="0"/>
          <w:numId w:val="6"/>
        </w:num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Is voor de hoofdwoning, waarbij het bijwonen wordt gerealiseerd, een vergunning verleend en is die woning ook daadwerkelijk gebouwd en nog aanwezig?</w:t>
      </w:r>
    </w:p>
    <w:p xmlns:wp14="http://schemas.microsoft.com/office/word/2010/wordml" w:rsidP="3C5385F2" wp14:paraId="777041C4" wp14:textId="58BF8158">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Voor de hoofdwoning is wel/ geen vergunning verleend. </w:t>
      </w: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p>
    <w:p xmlns:wp14="http://schemas.microsoft.com/office/word/2010/wordml" w:rsidP="3C5385F2" wp14:paraId="2B46E183" wp14:textId="28204AD3">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De vergunning is verleend op … </w:t>
      </w: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p>
    <w:p xmlns:wp14="http://schemas.microsoft.com/office/word/2010/wordml" w:rsidP="3C5385F2" wp14:paraId="2312F268" wp14:textId="4B5C619C">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De woning is wel/ niet nog aanwezig. </w:t>
      </w: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p>
    <w:p xmlns:wp14="http://schemas.microsoft.com/office/word/2010/wordml" w:rsidP="3C5385F2" wp14:paraId="33D4C81E" wp14:textId="7B66CF50">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47337B5B" wp14:textId="05AE7C97">
      <w:pPr>
        <w:pStyle w:val="ListParagraph"/>
        <w:numPr>
          <w:ilvl w:val="0"/>
          <w:numId w:val="6"/>
        </w:num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De gemeente toetst of het bouwwerk, waarin het bijwonen wordt gerealiseerd, past binnen de bouwregels van het gemeentelijk omgevingsplan voor deze locatie en voldoet aan de regels van het Besluit bouwwerken leefomgeving. </w:t>
      </w:r>
    </w:p>
    <w:p xmlns:wp14="http://schemas.microsoft.com/office/word/2010/wordml" w:rsidP="3C5385F2" wp14:paraId="170DFFA7" wp14:textId="79DDA08B">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Bij een bestaand bouwwerk: is in het verleden een vergunning aangevraagd en verleend of een melding gedaan voor de bouw van het bouwwerk?</w:t>
      </w:r>
    </w:p>
    <w:p xmlns:wp14="http://schemas.microsoft.com/office/word/2010/wordml" w:rsidP="3C5385F2" wp14:paraId="615DC20E" wp14:textId="552F0BCA">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EE0000"/>
          <w:sz w:val="28"/>
          <w:szCs w:val="28"/>
          <w:lang w:val="nl-NL"/>
        </w:rPr>
      </w:pPr>
      <w:r w:rsidRPr="3C5385F2" w:rsidR="0946DAB9">
        <w:rPr>
          <w:rFonts w:ascii="Calibri" w:hAnsi="Calibri" w:eastAsia="Calibri" w:cs="Calibri" w:asciiTheme="minorAscii" w:hAnsiTheme="minorAscii" w:eastAsiaTheme="minorAscii" w:cstheme="minorAscii"/>
          <w:b w:val="0"/>
          <w:bCs w:val="0"/>
          <w:i w:val="1"/>
          <w:iCs w:val="1"/>
          <w:caps w:val="0"/>
          <w:smallCaps w:val="0"/>
          <w:noProof w:val="0"/>
          <w:color w:val="000000" w:themeColor="text1" w:themeTint="FF" w:themeShade="FF"/>
          <w:sz w:val="24"/>
          <w:szCs w:val="24"/>
          <w:lang w:val="nl-NL"/>
        </w:rPr>
        <w:t xml:space="preserve">Voor het bouwwerk is in het verleden …op x datum met beschikking nummer vergunning verleend. Voeg kenmerk en vergunning toe. </w:t>
      </w:r>
      <w:r w:rsidRPr="3C5385F2" w:rsidR="0946DAB9">
        <w:rPr>
          <w:rFonts w:ascii="Calibri" w:hAnsi="Calibri" w:eastAsia="Calibri" w:cs="Calibri" w:asciiTheme="minorAscii" w:hAnsiTheme="minorAscii" w:eastAsiaTheme="minorAscii" w:cstheme="minorAscii"/>
          <w:b w:val="1"/>
          <w:bCs w:val="1"/>
          <w:i w:val="1"/>
          <w:iCs w:val="1"/>
          <w:caps w:val="0"/>
          <w:smallCaps w:val="0"/>
          <w:noProof w:val="0"/>
          <w:color w:val="EE0000"/>
          <w:sz w:val="28"/>
          <w:szCs w:val="28"/>
          <w:lang w:val="nl-NL"/>
        </w:rPr>
        <w:t>#</w:t>
      </w:r>
    </w:p>
    <w:p xmlns:wp14="http://schemas.microsoft.com/office/word/2010/wordml" w:rsidP="3C5385F2" wp14:paraId="2E2A514D" wp14:textId="67663047">
      <w:pPr>
        <w:spacing w:after="0"/>
        <w:ind w:left="36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193EDE31" wp14:textId="30B7543E">
      <w:p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679F51F6" wp14:textId="5A083834">
      <w:pPr>
        <w:pStyle w:val="Heading3"/>
        <w:keepNext w:val="1"/>
        <w:keepLines w:val="1"/>
        <w:spacing w:before="160" w:after="80"/>
        <w:rPr>
          <w:rFonts w:ascii="Calibri" w:hAnsi="Calibri" w:eastAsia="Calibri" w:cs="Calibri" w:asciiTheme="minorAscii" w:hAnsiTheme="minorAscii" w:eastAsiaTheme="minorAscii" w:cstheme="minorAscii"/>
          <w:b w:val="0"/>
          <w:bCs w:val="0"/>
          <w:i w:val="0"/>
          <w:iCs w:val="0"/>
          <w:caps w:val="0"/>
          <w:smallCaps w:val="0"/>
          <w:noProof w:val="0"/>
          <w:color w:val="0F4761" w:themeColor="accent1" w:themeTint="FF" w:themeShade="BF"/>
          <w:sz w:val="28"/>
          <w:szCs w:val="28"/>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F4761" w:themeColor="accent1" w:themeTint="FF" w:themeShade="BF"/>
          <w:sz w:val="28"/>
          <w:szCs w:val="28"/>
          <w:lang w:val="nl-NL"/>
        </w:rPr>
        <w:t>4. ETFAL-motivering bijwonen met zelfstandige voorzieningen</w:t>
      </w:r>
    </w:p>
    <w:p xmlns:wp14="http://schemas.microsoft.com/office/word/2010/wordml" w:rsidP="3C5385F2" wp14:paraId="74CEE213" wp14:textId="1DB35CF4">
      <w:p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Draagt het bijwonen bij de hoofdwoning bij aan een evenwichtige toedeling van functies aan de locatie (ETFAL)? Het bijwonen mag:</w:t>
      </w:r>
    </w:p>
    <w:p xmlns:wp14="http://schemas.microsoft.com/office/word/2010/wordml" w:rsidP="3C5385F2" wp14:paraId="2968DEEC" wp14:textId="38023A34">
      <w:pPr>
        <w:pStyle w:val="ListParagraph"/>
        <w:numPr>
          <w:ilvl w:val="0"/>
          <w:numId w:val="10"/>
        </w:num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Geen verstoring van de openbare orde, veiligheid of gezondheid tot gevolg hebben.</w:t>
      </w:r>
    </w:p>
    <w:p xmlns:wp14="http://schemas.microsoft.com/office/word/2010/wordml" w:rsidP="3C5385F2" wp14:paraId="49BBCCA9" wp14:textId="17B6FD86">
      <w:pPr>
        <w:pStyle w:val="ListParagraph"/>
        <w:numPr>
          <w:ilvl w:val="0"/>
          <w:numId w:val="10"/>
        </w:num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Geen verstoring van een geordend woon- en leefmilieu in de omgeving tot gevolg hebben.</w:t>
      </w:r>
    </w:p>
    <w:p xmlns:wp14="http://schemas.microsoft.com/office/word/2010/wordml" w:rsidP="3C5385F2" wp14:paraId="32F4AC10" wp14:textId="2A3478DB">
      <w:pPr>
        <w:pStyle w:val="ListParagraph"/>
        <w:numPr>
          <w:ilvl w:val="0"/>
          <w:numId w:val="10"/>
        </w:num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Niet leiden tot een onevenredige beperking van de gebruiksmogelijkheden van aangrenzende percelen.</w:t>
      </w:r>
    </w:p>
    <w:p xmlns:wp14="http://schemas.microsoft.com/office/word/2010/wordml" w:rsidP="3C5385F2" wp14:paraId="644763D1" wp14:textId="55E4F683">
      <w:pPr>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23C21E82" wp14:textId="14C2B732">
      <w:pPr>
        <w:spacing w:after="0" w:line="280" w:lineRule="exac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In het kader van ETFAL is van belang dat sprake is van een tijdelijk te verlenen omgevingsvergunning voor het bijwonen. Na het verlopen van de verleende omgevingsvergunning komt het gebruik voor bijwonen te vervallen en resteren enkel weer de nu al toegestane activiteiten. De ETFAL-toetsing kan daardoor minder uitgebreid zijn en gericht op de aspecten die specifiek voor de tijdelijke activiteiten van belang zijn.</w:t>
      </w:r>
    </w:p>
    <w:p xmlns:wp14="http://schemas.microsoft.com/office/word/2010/wordml" w:rsidP="3C5385F2" wp14:paraId="314074A0" wp14:textId="7AA52FFA">
      <w:pPr>
        <w:spacing w:after="0" w:line="280" w:lineRule="exac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 xml:space="preserve">In navolgend overzicht zijn de diverse aspecten voor de ETFAL-toetsing benoemd en vindt per aspect een korte toetsing plaats. </w:t>
      </w:r>
    </w:p>
    <w:p xmlns:wp14="http://schemas.microsoft.com/office/word/2010/wordml" w:rsidP="3C5385F2" wp14:paraId="39D91C8A" wp14:textId="3E978C75">
      <w:pPr>
        <w:spacing w:after="0" w:line="280" w:lineRule="exac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4B759FCA" wp14:textId="3933B2E9">
      <w:pPr>
        <w:spacing w:after="0" w:line="280" w:lineRule="exact"/>
        <w:ind w:left="340" w:hanging="340"/>
        <w:rPr>
          <w:rFonts w:ascii="Calibri" w:hAnsi="Calibri" w:eastAsia="Calibri" w:cs="Calibri" w:asciiTheme="minorAscii" w:hAnsiTheme="minorAscii" w:eastAsiaTheme="minorAscii" w:cstheme="minorAscii"/>
          <w:b w:val="0"/>
          <w:bCs w:val="0"/>
          <w:i w:val="0"/>
          <w:iCs w:val="0"/>
          <w:caps w:val="0"/>
          <w:smallCaps w:val="0"/>
          <w:noProof w:val="0"/>
          <w:color w:val="EE0000"/>
          <w:sz w:val="24"/>
          <w:szCs w:val="24"/>
          <w:lang w:val="nl-NL"/>
        </w:rPr>
      </w:pPr>
      <w:r w:rsidRPr="3C5385F2" w:rsidR="0946DAB9">
        <w:rPr>
          <w:rFonts w:ascii="Calibri" w:hAnsi="Calibri" w:eastAsia="Calibri" w:cs="Calibri" w:asciiTheme="minorAscii" w:hAnsiTheme="minorAscii" w:eastAsiaTheme="minorAscii" w:cstheme="minorAscii"/>
          <w:b w:val="1"/>
          <w:bCs w:val="1"/>
          <w:i w:val="0"/>
          <w:iCs w:val="0"/>
          <w:caps w:val="0"/>
          <w:smallCaps w:val="0"/>
          <w:noProof w:val="0"/>
          <w:color w:val="EE0000"/>
          <w:sz w:val="24"/>
          <w:szCs w:val="24"/>
          <w:lang w:val="nl-NL"/>
        </w:rPr>
        <w:t>!!</w:t>
      </w:r>
      <w:r>
        <w:tab/>
      </w: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EE0000"/>
          <w:sz w:val="24"/>
          <w:szCs w:val="24"/>
          <w:lang w:val="nl-NL"/>
        </w:rPr>
        <w:t>In onderstaand overzicht nagaan of de teksten in de kolom ‘Beoordeling’ van toepassing zijn op jouw locatie. Is dit niet het geval dan kan het bijwonen niet of niet zondermeer gerealiseerd worden en is voor het betreffende aspect een aanvullende onderbouwing noodzakelijk.</w:t>
      </w:r>
    </w:p>
    <w:p xmlns:wp14="http://schemas.microsoft.com/office/word/2010/wordml" w:rsidP="3C5385F2" wp14:paraId="1360FF4E" wp14:textId="7D913B4B">
      <w:pPr>
        <w:spacing w:after="0" w:line="280" w:lineRule="exact"/>
        <w:ind w:left="340" w:hanging="340"/>
        <w:rPr>
          <w:rFonts w:ascii="Calibri" w:hAnsi="Calibri" w:eastAsia="Calibri" w:cs="Calibri" w:asciiTheme="minorAscii" w:hAnsiTheme="minorAscii" w:eastAsiaTheme="minorAscii" w:cstheme="minorAscii"/>
          <w:b w:val="0"/>
          <w:bCs w:val="0"/>
          <w:i w:val="0"/>
          <w:iCs w:val="0"/>
          <w:caps w:val="0"/>
          <w:smallCaps w:val="0"/>
          <w:noProof w:val="0"/>
          <w:color w:val="EE0000"/>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EE0000"/>
          <w:sz w:val="24"/>
          <w:szCs w:val="24"/>
          <w:lang w:val="nl-NL"/>
        </w:rPr>
        <w:t>Als er keuzemogelijkheden zijn aangegeven, de niet van toepassing zijnde keuzemogelijkheid doorhalen.</w:t>
      </w:r>
    </w:p>
    <w:p xmlns:wp14="http://schemas.microsoft.com/office/word/2010/wordml" w:rsidP="3C5385F2" wp14:paraId="4DDD580D" wp14:textId="019D059C">
      <w:pPr>
        <w:spacing w:after="0" w:line="280" w:lineRule="exact"/>
        <w:ind w:left="340" w:hanging="340"/>
        <w:rPr>
          <w:rFonts w:ascii="Calibri" w:hAnsi="Calibri" w:eastAsia="Calibri" w:cs="Calibri" w:asciiTheme="minorAscii" w:hAnsiTheme="minorAscii" w:eastAsiaTheme="minorAscii" w:cstheme="minorAscii"/>
          <w:b w:val="0"/>
          <w:bCs w:val="0"/>
          <w:i w:val="0"/>
          <w:iCs w:val="0"/>
          <w:caps w:val="0"/>
          <w:smallCaps w:val="0"/>
          <w:noProof w:val="0"/>
          <w:color w:val="EE0000"/>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EE0000"/>
          <w:sz w:val="24"/>
          <w:szCs w:val="24"/>
          <w:lang w:val="nl-NL"/>
        </w:rPr>
        <w:t>Hierbij het advies je bij het nagaan van de beoordeling te laten helpen door een deskundige/ adviseur.</w:t>
      </w:r>
    </w:p>
    <w:p xmlns:wp14="http://schemas.microsoft.com/office/word/2010/wordml" w:rsidP="3C5385F2" wp14:paraId="5077C0DD" wp14:textId="3549B0F2">
      <w:pPr>
        <w:spacing w:after="0" w:line="280" w:lineRule="exac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3165"/>
        <w:gridCol w:w="5895"/>
      </w:tblGrid>
      <w:tr w:rsidR="3C5385F2" w:rsidTr="3C5385F2" w14:paraId="5DEB2F76">
        <w:trPr>
          <w:trHeight w:val="300"/>
        </w:trPr>
        <w:tc>
          <w:tcPr>
            <w:tcW w:w="9060" w:type="dxa"/>
            <w:gridSpan w:val="2"/>
            <w:tcBorders>
              <w:top w:val="single" w:sz="6"/>
              <w:left w:val="single" w:sz="6"/>
              <w:bottom w:val="single" w:sz="6"/>
              <w:right w:val="single" w:sz="6"/>
            </w:tcBorders>
            <w:tcMar>
              <w:left w:w="105" w:type="dxa"/>
              <w:right w:w="105" w:type="dxa"/>
            </w:tcMar>
            <w:vAlign w:val="top"/>
          </w:tcPr>
          <w:p w:rsidR="3C5385F2" w:rsidP="3C5385F2" w:rsidRDefault="3C5385F2" w14:paraId="4B154248" w14:textId="473EDA5C">
            <w:pPr>
              <w:pStyle w:val="Heading1"/>
              <w:rPr>
                <w:rFonts w:ascii="Calibri" w:hAnsi="Calibri" w:eastAsia="Calibri" w:cs="Calibri" w:asciiTheme="minorAscii" w:hAnsiTheme="minorAscii" w:eastAsiaTheme="minorAscii" w:cstheme="minorAscii"/>
                <w:b w:val="0"/>
                <w:bCs w:val="0"/>
                <w:i w:val="0"/>
                <w:iCs w:val="0"/>
                <w:sz w:val="24"/>
                <w:szCs w:val="24"/>
              </w:rPr>
            </w:pPr>
            <w:r w:rsidRPr="3C5385F2" w:rsidR="3C5385F2">
              <w:rPr>
                <w:lang w:val="nl-NL"/>
              </w:rPr>
              <w:t>ETFAL-toetsing</w:t>
            </w:r>
          </w:p>
        </w:tc>
      </w:tr>
      <w:tr w:rsidR="3C5385F2" w:rsidTr="3C5385F2" w14:paraId="29C52323">
        <w:trPr>
          <w:trHeight w:val="300"/>
        </w:trPr>
        <w:tc>
          <w:tcPr>
            <w:tcW w:w="3165" w:type="dxa"/>
            <w:tcBorders>
              <w:top w:val="single" w:sz="6"/>
              <w:left w:val="single" w:sz="6"/>
              <w:bottom w:val="single" w:sz="6"/>
              <w:right w:val="single" w:sz="6"/>
            </w:tcBorders>
            <w:tcMar>
              <w:left w:w="105" w:type="dxa"/>
              <w:right w:w="105" w:type="dxa"/>
            </w:tcMar>
            <w:vAlign w:val="top"/>
          </w:tcPr>
          <w:p w:rsidR="3C5385F2" w:rsidP="3C5385F2" w:rsidRDefault="3C5385F2" w14:paraId="7367D01D" w14:textId="7CC71848">
            <w:pPr>
              <w:pStyle w:val="Heading2"/>
              <w:rPr>
                <w:rFonts w:ascii="Calibri" w:hAnsi="Calibri" w:eastAsia="Calibri" w:cs="Calibri" w:asciiTheme="minorAscii" w:hAnsiTheme="minorAscii" w:eastAsiaTheme="minorAscii" w:cstheme="minorAscii"/>
                <w:b w:val="0"/>
                <w:bCs w:val="0"/>
                <w:i w:val="0"/>
                <w:iCs w:val="0"/>
                <w:sz w:val="24"/>
                <w:szCs w:val="24"/>
              </w:rPr>
            </w:pPr>
            <w:r w:rsidRPr="3C5385F2" w:rsidR="3C5385F2">
              <w:rPr>
                <w:lang w:val="nl-NL"/>
              </w:rPr>
              <w:t>Aspect</w:t>
            </w:r>
          </w:p>
        </w:tc>
        <w:tc>
          <w:tcPr>
            <w:tcW w:w="5895" w:type="dxa"/>
            <w:tcBorders>
              <w:top w:val="single" w:sz="6"/>
              <w:left w:val="single" w:sz="6"/>
              <w:bottom w:val="single" w:sz="6"/>
              <w:right w:val="single" w:sz="6"/>
            </w:tcBorders>
            <w:tcMar>
              <w:left w:w="105" w:type="dxa"/>
              <w:right w:w="105" w:type="dxa"/>
            </w:tcMar>
            <w:vAlign w:val="top"/>
          </w:tcPr>
          <w:p w:rsidR="3C5385F2" w:rsidP="3C5385F2" w:rsidRDefault="3C5385F2" w14:paraId="44915087" w14:textId="46BE9727">
            <w:pPr>
              <w:pStyle w:val="Heading2"/>
              <w:rPr>
                <w:rFonts w:ascii="Calibri" w:hAnsi="Calibri" w:eastAsia="Calibri" w:cs="Calibri" w:asciiTheme="minorAscii" w:hAnsiTheme="minorAscii" w:eastAsiaTheme="minorAscii" w:cstheme="minorAscii"/>
                <w:b w:val="0"/>
                <w:bCs w:val="0"/>
                <w:i w:val="0"/>
                <w:iCs w:val="0"/>
                <w:color w:val="EE0000"/>
                <w:sz w:val="24"/>
                <w:szCs w:val="24"/>
              </w:rPr>
            </w:pPr>
            <w:r w:rsidRPr="3C5385F2" w:rsidR="3C5385F2">
              <w:rPr>
                <w:lang w:val="nl-NL"/>
              </w:rPr>
              <w:t>Beoordeling</w:t>
            </w:r>
          </w:p>
        </w:tc>
      </w:tr>
      <w:tr w:rsidR="3C5385F2" w:rsidTr="3C5385F2" w14:paraId="0742A852">
        <w:trPr>
          <w:trHeight w:val="300"/>
        </w:trPr>
        <w:tc>
          <w:tcPr>
            <w:tcW w:w="3165" w:type="dxa"/>
            <w:tcBorders>
              <w:top w:val="single" w:sz="6"/>
              <w:left w:val="single" w:sz="6"/>
              <w:bottom w:val="single" w:sz="6"/>
              <w:right w:val="single" w:sz="6"/>
            </w:tcBorders>
            <w:tcMar>
              <w:left w:w="105" w:type="dxa"/>
              <w:right w:w="105" w:type="dxa"/>
            </w:tcMar>
            <w:vAlign w:val="top"/>
          </w:tcPr>
          <w:p w:rsidR="3C5385F2" w:rsidP="3C5385F2" w:rsidRDefault="3C5385F2" w14:paraId="332FE5B7" w14:textId="55527671">
            <w:pPr>
              <w:pStyle w:val="Heading3"/>
              <w:rPr>
                <w:rFonts w:ascii="Calibri" w:hAnsi="Calibri" w:eastAsia="Calibri" w:cs="Calibri" w:asciiTheme="minorAscii" w:hAnsiTheme="minorAscii" w:eastAsiaTheme="minorAscii" w:cstheme="minorAscii"/>
                <w:b w:val="0"/>
                <w:bCs w:val="0"/>
                <w:i w:val="0"/>
                <w:iCs w:val="0"/>
                <w:sz w:val="24"/>
                <w:szCs w:val="24"/>
              </w:rPr>
            </w:pPr>
            <w:r w:rsidRPr="3C5385F2" w:rsidR="3C5385F2">
              <w:rPr>
                <w:lang w:val="nl-NL"/>
              </w:rPr>
              <w:t>Milieubelastende activiteit</w:t>
            </w:r>
          </w:p>
        </w:tc>
        <w:tc>
          <w:tcPr>
            <w:tcW w:w="5895" w:type="dxa"/>
            <w:tcBorders>
              <w:top w:val="single" w:sz="6"/>
              <w:left w:val="single" w:sz="6"/>
              <w:bottom w:val="single" w:sz="6"/>
              <w:right w:val="single" w:sz="6"/>
            </w:tcBorders>
            <w:tcMar>
              <w:left w:w="105" w:type="dxa"/>
              <w:right w:w="105" w:type="dxa"/>
            </w:tcMar>
            <w:vAlign w:val="top"/>
          </w:tcPr>
          <w:p w:rsidR="3C5385F2" w:rsidP="3C5385F2" w:rsidRDefault="3C5385F2" w14:paraId="179BF154" w14:textId="4C868C49">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Het bijwonen bij een hoofdwoning is niet aan te merken als een milieubelastende activiteit.</w:t>
            </w:r>
          </w:p>
          <w:p w:rsidR="3C5385F2" w:rsidP="3C5385F2" w:rsidRDefault="3C5385F2" w14:paraId="28AF81B5" w14:textId="7F0260AF">
            <w:pPr>
              <w:spacing w:line="280" w:lineRule="exact"/>
              <w:rPr>
                <w:rFonts w:ascii="Calibri" w:hAnsi="Calibri" w:eastAsia="Calibri" w:cs="Calibri" w:asciiTheme="minorAscii" w:hAnsiTheme="minorAscii" w:eastAsiaTheme="minorAscii" w:cstheme="minorAscii"/>
                <w:b w:val="0"/>
                <w:bCs w:val="0"/>
                <w:i w:val="0"/>
                <w:iCs w:val="0"/>
                <w:sz w:val="24"/>
                <w:szCs w:val="24"/>
              </w:rPr>
            </w:pPr>
          </w:p>
        </w:tc>
      </w:tr>
      <w:tr w:rsidR="3C5385F2" w:rsidTr="3C5385F2" w14:paraId="6BFA18F2">
        <w:trPr>
          <w:trHeight w:val="300"/>
        </w:trPr>
        <w:tc>
          <w:tcPr>
            <w:tcW w:w="3165" w:type="dxa"/>
            <w:tcBorders>
              <w:top w:val="single" w:sz="6"/>
              <w:left w:val="single" w:sz="6"/>
              <w:bottom w:val="single" w:sz="6"/>
              <w:right w:val="single" w:sz="6"/>
            </w:tcBorders>
            <w:tcMar>
              <w:left w:w="105" w:type="dxa"/>
              <w:right w:w="105" w:type="dxa"/>
            </w:tcMar>
            <w:vAlign w:val="top"/>
          </w:tcPr>
          <w:p w:rsidR="3C5385F2" w:rsidP="3C5385F2" w:rsidRDefault="3C5385F2" w14:paraId="62562F45" w14:textId="61AF29C8">
            <w:pPr>
              <w:pStyle w:val="Heading3"/>
              <w:rPr>
                <w:rFonts w:ascii="Calibri" w:hAnsi="Calibri" w:eastAsia="Calibri" w:cs="Calibri" w:asciiTheme="minorAscii" w:hAnsiTheme="minorAscii" w:eastAsiaTheme="minorAscii" w:cstheme="minorAscii"/>
                <w:b w:val="0"/>
                <w:bCs w:val="0"/>
                <w:i w:val="0"/>
                <w:iCs w:val="0"/>
                <w:sz w:val="24"/>
                <w:szCs w:val="24"/>
              </w:rPr>
            </w:pPr>
            <w:r w:rsidRPr="3C5385F2" w:rsidR="3C5385F2">
              <w:rPr>
                <w:lang w:val="nl-NL"/>
              </w:rPr>
              <w:t>Externe veiligheid</w:t>
            </w:r>
          </w:p>
        </w:tc>
        <w:tc>
          <w:tcPr>
            <w:tcW w:w="5895" w:type="dxa"/>
            <w:tcBorders>
              <w:top w:val="single" w:sz="6"/>
              <w:left w:val="single" w:sz="6"/>
              <w:bottom w:val="single" w:sz="6"/>
              <w:right w:val="single" w:sz="6"/>
            </w:tcBorders>
            <w:tcMar>
              <w:left w:w="105" w:type="dxa"/>
              <w:right w:w="105" w:type="dxa"/>
            </w:tcMar>
            <w:vAlign w:val="top"/>
          </w:tcPr>
          <w:p w:rsidR="3C5385F2" w:rsidP="3C5385F2" w:rsidRDefault="3C5385F2" w14:paraId="6E0F2046" w14:textId="71E15E96">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 xml:space="preserve">Conform het Register Externe Veiligheidsrisico’s ligt het projectgebied niet binnen pr- en vergelijkbare contouren of aandachtsgebieden van stationaire activiteiten, buisleidingen of vervoersassen (behorend tot een Basisnet) in de omgeving. </w:t>
            </w:r>
          </w:p>
          <w:p w:rsidR="3C5385F2" w:rsidP="3C5385F2" w:rsidRDefault="3C5385F2" w14:paraId="207FB397" w14:textId="2692FCF2">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Het bijwonen bij een hoofdwoning is verder niet aan te merken als een activiteit die risico’s voor de externe veiligheid met zich meebrengt.</w:t>
            </w:r>
          </w:p>
          <w:p w:rsidR="3C5385F2" w:rsidP="3C5385F2" w:rsidRDefault="3C5385F2" w14:paraId="740F9A18" w14:textId="7CF15C9E">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Het bijwonen leidt niet tot risico’s voor de externe veiligheid.</w:t>
            </w:r>
          </w:p>
          <w:p w:rsidR="3C5385F2" w:rsidP="3C5385F2" w:rsidRDefault="3C5385F2" w14:paraId="1ACCC740" w14:textId="3574DA1C">
            <w:pPr>
              <w:spacing w:line="280" w:lineRule="exact"/>
              <w:rPr>
                <w:rFonts w:ascii="Calibri" w:hAnsi="Calibri" w:eastAsia="Calibri" w:cs="Calibri" w:asciiTheme="minorAscii" w:hAnsiTheme="minorAscii" w:eastAsiaTheme="minorAscii" w:cstheme="minorAscii"/>
                <w:b w:val="0"/>
                <w:bCs w:val="0"/>
                <w:i w:val="0"/>
                <w:iCs w:val="0"/>
                <w:sz w:val="24"/>
                <w:szCs w:val="24"/>
              </w:rPr>
            </w:pPr>
          </w:p>
        </w:tc>
      </w:tr>
      <w:tr w:rsidR="3C5385F2" w:rsidTr="3C5385F2" w14:paraId="7C1CE815">
        <w:trPr>
          <w:trHeight w:val="300"/>
        </w:trPr>
        <w:tc>
          <w:tcPr>
            <w:tcW w:w="3165" w:type="dxa"/>
            <w:tcBorders>
              <w:top w:val="single" w:sz="6"/>
              <w:left w:val="single" w:sz="6"/>
              <w:bottom w:val="single" w:sz="6"/>
              <w:right w:val="single" w:sz="6"/>
            </w:tcBorders>
            <w:tcMar>
              <w:left w:w="105" w:type="dxa"/>
              <w:right w:w="105" w:type="dxa"/>
            </w:tcMar>
            <w:vAlign w:val="top"/>
          </w:tcPr>
          <w:p w:rsidR="3C5385F2" w:rsidP="3C5385F2" w:rsidRDefault="3C5385F2" w14:paraId="2EC101EF" w14:textId="1642343F">
            <w:pPr>
              <w:pStyle w:val="Heading3"/>
              <w:rPr>
                <w:rFonts w:ascii="Calibri" w:hAnsi="Calibri" w:eastAsia="Calibri" w:cs="Calibri" w:asciiTheme="minorAscii" w:hAnsiTheme="minorAscii" w:eastAsiaTheme="minorAscii" w:cstheme="minorAscii"/>
                <w:b w:val="0"/>
                <w:bCs w:val="0"/>
                <w:i w:val="0"/>
                <w:iCs w:val="0"/>
                <w:sz w:val="24"/>
                <w:szCs w:val="24"/>
              </w:rPr>
            </w:pPr>
            <w:r w:rsidRPr="3C5385F2" w:rsidR="3C5385F2">
              <w:rPr>
                <w:lang w:val="nl-NL"/>
              </w:rPr>
              <w:t>Water</w:t>
            </w:r>
          </w:p>
        </w:tc>
        <w:tc>
          <w:tcPr>
            <w:tcW w:w="5895" w:type="dxa"/>
            <w:tcBorders>
              <w:top w:val="single" w:sz="6"/>
              <w:left w:val="single" w:sz="6"/>
              <w:bottom w:val="single" w:sz="6"/>
              <w:right w:val="single" w:sz="6"/>
            </w:tcBorders>
            <w:tcMar>
              <w:left w:w="105" w:type="dxa"/>
              <w:right w:w="105" w:type="dxa"/>
            </w:tcMar>
            <w:vAlign w:val="top"/>
          </w:tcPr>
          <w:p w:rsidR="3C5385F2" w:rsidP="3C5385F2" w:rsidRDefault="3C5385F2" w14:paraId="3B6D3786" w14:textId="2830DE1A">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trike w:val="0"/>
                <w:dstrike w:val="0"/>
                <w:sz w:val="24"/>
                <w:szCs w:val="24"/>
                <w:u w:val="single"/>
                <w:lang w:val="nl-NL"/>
              </w:rPr>
              <w:t>Keuze 1.</w:t>
            </w:r>
          </w:p>
          <w:p w:rsidR="3C5385F2" w:rsidP="3C5385F2" w:rsidRDefault="3C5385F2" w14:paraId="28C9EF10" w14:textId="616E841F">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 xml:space="preserve">Het bijwonen wordt gerealiseerd binnen een bestaand gebouw. Het (maximaal toelaatbare) verhard oppervlak wijzigt daardoor niet, het bijwonen kan hydrologisch neutraal (HNO) worden ontwikkeld. </w:t>
            </w:r>
          </w:p>
          <w:p w:rsidR="3C5385F2" w:rsidP="3C5385F2" w:rsidRDefault="3C5385F2" w14:paraId="53FD609E" w14:textId="781CF401">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Het bijwonen raakt geen waterbelangen.</w:t>
            </w:r>
          </w:p>
          <w:p w:rsidR="3C5385F2" w:rsidP="3C5385F2" w:rsidRDefault="3C5385F2" w14:paraId="3BA58124" w14:textId="32B9A787">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trike w:val="0"/>
                <w:dstrike w:val="0"/>
                <w:sz w:val="24"/>
                <w:szCs w:val="24"/>
                <w:u w:val="single"/>
                <w:lang w:val="nl-NL"/>
              </w:rPr>
              <w:t>Keuze 2.</w:t>
            </w:r>
          </w:p>
          <w:p w:rsidR="3C5385F2" w:rsidP="3C5385F2" w:rsidRDefault="3C5385F2" w14:paraId="44DAD059" w14:textId="34217FB2">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 xml:space="preserve">Het bijwonen wordt gerealiseerd in een nieuw gebouw, dat op basis van de bouwmogelijkheden in het omgevingsplan gebouwd mag worden, of in een tijdelijke woonunit. Het (maximaal toelaatbare) verhard oppervlak wijzigt daardoor wel. Het bijwonen raakt wel een waterbelang. Om het bijwonen toch hydrologisch neutraal (HNO) te kunnen ontwikkelen, worden waterbergings- en infiltratievoorzieningen aangelegd, met voldoende opvangcapaciteit. </w:t>
            </w:r>
          </w:p>
          <w:p w:rsidR="3C5385F2" w:rsidP="3C5385F2" w:rsidRDefault="3C5385F2" w14:paraId="157642F6" w14:textId="00EAB4AC">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Een beschrijving van de aan te leggen voorzieningen, met berekening van de benodigde opvangcapaciteit, heb ik als bijlage toegevoegd.</w:t>
            </w:r>
          </w:p>
          <w:p w:rsidR="3C5385F2" w:rsidP="3C5385F2" w:rsidRDefault="3C5385F2" w14:paraId="610A09FF" w14:textId="4FBC283F">
            <w:pPr>
              <w:spacing w:line="280" w:lineRule="exact"/>
              <w:rPr>
                <w:rFonts w:ascii="Calibri" w:hAnsi="Calibri" w:eastAsia="Calibri" w:cs="Calibri" w:asciiTheme="minorAscii" w:hAnsiTheme="minorAscii" w:eastAsiaTheme="minorAscii" w:cstheme="minorAscii"/>
                <w:b w:val="0"/>
                <w:bCs w:val="0"/>
                <w:i w:val="0"/>
                <w:iCs w:val="0"/>
                <w:sz w:val="24"/>
                <w:szCs w:val="24"/>
              </w:rPr>
            </w:pPr>
          </w:p>
        </w:tc>
      </w:tr>
      <w:tr w:rsidR="3C5385F2" w:rsidTr="3C5385F2" w14:paraId="176E7E75">
        <w:trPr>
          <w:trHeight w:val="300"/>
        </w:trPr>
        <w:tc>
          <w:tcPr>
            <w:tcW w:w="3165" w:type="dxa"/>
            <w:tcBorders>
              <w:top w:val="single" w:sz="6"/>
              <w:left w:val="single" w:sz="6"/>
              <w:bottom w:val="single" w:sz="6"/>
              <w:right w:val="single" w:sz="6"/>
            </w:tcBorders>
            <w:tcMar>
              <w:left w:w="105" w:type="dxa"/>
              <w:right w:w="105" w:type="dxa"/>
            </w:tcMar>
            <w:vAlign w:val="top"/>
          </w:tcPr>
          <w:p w:rsidR="3C5385F2" w:rsidP="3C5385F2" w:rsidRDefault="3C5385F2" w14:paraId="307ADB03" w14:textId="088A47D9">
            <w:pPr>
              <w:pStyle w:val="Heading3"/>
              <w:rPr>
                <w:rFonts w:ascii="Calibri" w:hAnsi="Calibri" w:eastAsia="Calibri" w:cs="Calibri" w:asciiTheme="minorAscii" w:hAnsiTheme="minorAscii" w:eastAsiaTheme="minorAscii" w:cstheme="minorAscii"/>
                <w:b w:val="0"/>
                <w:bCs w:val="0"/>
                <w:i w:val="0"/>
                <w:iCs w:val="0"/>
                <w:sz w:val="24"/>
                <w:szCs w:val="24"/>
              </w:rPr>
            </w:pPr>
            <w:r w:rsidRPr="3C5385F2" w:rsidR="3C5385F2">
              <w:rPr>
                <w:lang w:val="nl-NL"/>
              </w:rPr>
              <w:t xml:space="preserve">Luchtkwaliteit </w:t>
            </w:r>
          </w:p>
        </w:tc>
        <w:tc>
          <w:tcPr>
            <w:tcW w:w="5895" w:type="dxa"/>
            <w:tcBorders>
              <w:top w:val="single" w:sz="6"/>
              <w:left w:val="single" w:sz="6"/>
              <w:bottom w:val="single" w:sz="6"/>
              <w:right w:val="single" w:sz="6"/>
            </w:tcBorders>
            <w:tcMar>
              <w:left w:w="105" w:type="dxa"/>
              <w:right w:w="105" w:type="dxa"/>
            </w:tcMar>
            <w:vAlign w:val="top"/>
          </w:tcPr>
          <w:p w:rsidR="3C5385F2" w:rsidP="3C5385F2" w:rsidRDefault="3C5385F2" w14:paraId="26FA5AE0" w14:textId="253AF560">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Het realiseren van een beperkt aantal woningen draagt ‘niet in betekende mate’ (NIBM) bij aan verslechtering van de luchtkwaliteit. Het realiseren van bijwonen bij een hoofdwoning voor maximaal twee personen, draagt daardoor in ieder geval NIBM bij aan verslechtering van de luchtkwaliteit.</w:t>
            </w:r>
          </w:p>
          <w:p w:rsidR="3C5385F2" w:rsidP="3C5385F2" w:rsidRDefault="3C5385F2" w14:paraId="0EA7CA99" w14:textId="24AC55C9">
            <w:pPr>
              <w:spacing w:line="280" w:lineRule="exact"/>
              <w:rPr>
                <w:rFonts w:ascii="Calibri" w:hAnsi="Calibri" w:eastAsia="Calibri" w:cs="Calibri" w:asciiTheme="minorAscii" w:hAnsiTheme="minorAscii" w:eastAsiaTheme="minorAscii" w:cstheme="minorAscii"/>
                <w:b w:val="0"/>
                <w:bCs w:val="0"/>
                <w:i w:val="0"/>
                <w:iCs w:val="0"/>
                <w:sz w:val="24"/>
                <w:szCs w:val="24"/>
              </w:rPr>
            </w:pPr>
          </w:p>
        </w:tc>
      </w:tr>
      <w:tr w:rsidR="3C5385F2" w:rsidTr="3C5385F2" w14:paraId="223509A1">
        <w:trPr>
          <w:trHeight w:val="300"/>
        </w:trPr>
        <w:tc>
          <w:tcPr>
            <w:tcW w:w="3165" w:type="dxa"/>
            <w:tcBorders>
              <w:top w:val="single" w:sz="6"/>
              <w:left w:val="single" w:sz="6"/>
              <w:bottom w:val="single" w:sz="6"/>
              <w:right w:val="single" w:sz="6"/>
            </w:tcBorders>
            <w:tcMar>
              <w:left w:w="105" w:type="dxa"/>
              <w:right w:w="105" w:type="dxa"/>
            </w:tcMar>
            <w:vAlign w:val="top"/>
          </w:tcPr>
          <w:p w:rsidR="3C5385F2" w:rsidP="3C5385F2" w:rsidRDefault="3C5385F2" w14:paraId="5F94E65B" w14:textId="40230FCC">
            <w:pPr>
              <w:pStyle w:val="Heading3"/>
              <w:rPr>
                <w:rFonts w:ascii="Calibri" w:hAnsi="Calibri" w:eastAsia="Calibri" w:cs="Calibri" w:asciiTheme="minorAscii" w:hAnsiTheme="minorAscii" w:eastAsiaTheme="minorAscii" w:cstheme="minorAscii"/>
                <w:b w:val="0"/>
                <w:bCs w:val="0"/>
                <w:i w:val="0"/>
                <w:iCs w:val="0"/>
                <w:sz w:val="24"/>
                <w:szCs w:val="24"/>
              </w:rPr>
            </w:pPr>
            <w:r w:rsidRPr="3C5385F2" w:rsidR="3C5385F2">
              <w:rPr>
                <w:lang w:val="nl-NL"/>
              </w:rPr>
              <w:t>Geluid door activiteiten</w:t>
            </w:r>
          </w:p>
        </w:tc>
        <w:tc>
          <w:tcPr>
            <w:tcW w:w="5895" w:type="dxa"/>
            <w:tcBorders>
              <w:top w:val="single" w:sz="6"/>
              <w:left w:val="single" w:sz="6"/>
              <w:bottom w:val="single" w:sz="6"/>
              <w:right w:val="single" w:sz="6"/>
            </w:tcBorders>
            <w:tcMar>
              <w:left w:w="105" w:type="dxa"/>
              <w:right w:w="105" w:type="dxa"/>
            </w:tcMar>
            <w:vAlign w:val="top"/>
          </w:tcPr>
          <w:p w:rsidR="3C5385F2" w:rsidP="3C5385F2" w:rsidRDefault="3C5385F2" w14:paraId="7B9BC012" w14:textId="30565D4B">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 xml:space="preserve">Het gebouw, waarin het bijwonen wordt gerealiseerd, is aan te merken als een ‘geluidgevoelig object’. In de directe omgeving van de locatie voor het bijwonen vinden echter geen geluidhinder veroorzakende activiteiten plaats. </w:t>
            </w:r>
          </w:p>
          <w:p w:rsidR="3C5385F2" w:rsidP="3C5385F2" w:rsidRDefault="3C5385F2" w14:paraId="235A8DB9" w14:textId="1387C2AD">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Daarnaast is het bijwonen ook niet aan te merken als een geluidhinder veroorzakende activiteit.</w:t>
            </w:r>
          </w:p>
          <w:p w:rsidR="3C5385F2" w:rsidP="3C5385F2" w:rsidRDefault="3C5385F2" w14:paraId="70DFFCA7" w14:textId="1ABDE9CF">
            <w:pPr>
              <w:spacing w:line="280" w:lineRule="exact"/>
              <w:rPr>
                <w:rFonts w:ascii="Calibri" w:hAnsi="Calibri" w:eastAsia="Calibri" w:cs="Calibri" w:asciiTheme="minorAscii" w:hAnsiTheme="minorAscii" w:eastAsiaTheme="minorAscii" w:cstheme="minorAscii"/>
                <w:b w:val="0"/>
                <w:bCs w:val="0"/>
                <w:i w:val="0"/>
                <w:iCs w:val="0"/>
                <w:sz w:val="24"/>
                <w:szCs w:val="24"/>
              </w:rPr>
            </w:pPr>
          </w:p>
        </w:tc>
      </w:tr>
      <w:tr w:rsidR="3C5385F2" w:rsidTr="3C5385F2" w14:paraId="143D8F25">
        <w:trPr>
          <w:trHeight w:val="300"/>
        </w:trPr>
        <w:tc>
          <w:tcPr>
            <w:tcW w:w="3165" w:type="dxa"/>
            <w:tcBorders>
              <w:top w:val="single" w:sz="6"/>
              <w:left w:val="single" w:sz="6"/>
              <w:bottom w:val="single" w:sz="6"/>
              <w:right w:val="single" w:sz="6"/>
            </w:tcBorders>
            <w:tcMar>
              <w:left w:w="105" w:type="dxa"/>
              <w:right w:w="105" w:type="dxa"/>
            </w:tcMar>
            <w:vAlign w:val="top"/>
          </w:tcPr>
          <w:p w:rsidR="3C5385F2" w:rsidP="3C5385F2" w:rsidRDefault="3C5385F2" w14:paraId="6B3B9EEF" w14:textId="164CC2A6">
            <w:pPr>
              <w:pStyle w:val="Heading3"/>
              <w:rPr>
                <w:rFonts w:ascii="Calibri" w:hAnsi="Calibri" w:eastAsia="Calibri" w:cs="Calibri" w:asciiTheme="minorAscii" w:hAnsiTheme="minorAscii" w:eastAsiaTheme="minorAscii" w:cstheme="minorAscii"/>
                <w:b w:val="0"/>
                <w:bCs w:val="0"/>
                <w:i w:val="0"/>
                <w:iCs w:val="0"/>
                <w:sz w:val="24"/>
                <w:szCs w:val="24"/>
              </w:rPr>
            </w:pPr>
            <w:r w:rsidRPr="3C5385F2" w:rsidR="3C5385F2">
              <w:rPr>
                <w:lang w:val="nl-NL"/>
              </w:rPr>
              <w:t>Geluid door (spoor)wegen en industrieterreinen</w:t>
            </w:r>
          </w:p>
        </w:tc>
        <w:tc>
          <w:tcPr>
            <w:tcW w:w="5895" w:type="dxa"/>
            <w:tcBorders>
              <w:top w:val="single" w:sz="6"/>
              <w:left w:val="single" w:sz="6"/>
              <w:bottom w:val="single" w:sz="6"/>
              <w:right w:val="single" w:sz="6"/>
            </w:tcBorders>
            <w:tcMar>
              <w:left w:w="105" w:type="dxa"/>
              <w:right w:w="105" w:type="dxa"/>
            </w:tcMar>
            <w:vAlign w:val="top"/>
          </w:tcPr>
          <w:p w:rsidR="3C5385F2" w:rsidP="3C5385F2" w:rsidRDefault="3C5385F2" w14:paraId="0889E245" w14:textId="3BCA55E5">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Het gebouw, waarin het bijwonen wordt gerealiseerd, is aan te merken als een geluidgevoelig object. De locatie voor het bijwonen is gelegen in het geluidsaandachtsgebied van gemeentewegen. De hoofdwoning op de locatie ervaart door de ligging in datzelfde geluidsaandachtsgebied echter geen geluidhinder. Dit zal daarom ook niet het geval zijn voor het gebouw, waarin het bijwonen wordt gerealiseerd.</w:t>
            </w:r>
          </w:p>
          <w:p w:rsidR="3C5385F2" w:rsidP="3C5385F2" w:rsidRDefault="3C5385F2" w14:paraId="76921CD6" w14:textId="43EAB5E7">
            <w:pPr>
              <w:spacing w:line="280" w:lineRule="exact"/>
              <w:rPr>
                <w:rFonts w:ascii="Calibri" w:hAnsi="Calibri" w:eastAsia="Calibri" w:cs="Calibri" w:asciiTheme="minorAscii" w:hAnsiTheme="minorAscii" w:eastAsiaTheme="minorAscii" w:cstheme="minorAscii"/>
                <w:b w:val="0"/>
                <w:bCs w:val="0"/>
                <w:i w:val="0"/>
                <w:iCs w:val="0"/>
                <w:sz w:val="24"/>
                <w:szCs w:val="24"/>
              </w:rPr>
            </w:pPr>
          </w:p>
        </w:tc>
      </w:tr>
      <w:tr w:rsidR="3C5385F2" w:rsidTr="3C5385F2" w14:paraId="42363706">
        <w:trPr>
          <w:trHeight w:val="300"/>
        </w:trPr>
        <w:tc>
          <w:tcPr>
            <w:tcW w:w="3165" w:type="dxa"/>
            <w:tcBorders>
              <w:top w:val="single" w:sz="6"/>
              <w:left w:val="single" w:sz="6"/>
              <w:bottom w:val="single" w:sz="6"/>
              <w:right w:val="single" w:sz="6"/>
            </w:tcBorders>
            <w:tcMar>
              <w:left w:w="105" w:type="dxa"/>
              <w:right w:w="105" w:type="dxa"/>
            </w:tcMar>
            <w:vAlign w:val="top"/>
          </w:tcPr>
          <w:p w:rsidR="3C5385F2" w:rsidP="3C5385F2" w:rsidRDefault="3C5385F2" w14:paraId="1473ED3B" w14:textId="4DDD70C8">
            <w:pPr>
              <w:pStyle w:val="Heading3"/>
              <w:rPr>
                <w:rFonts w:ascii="Calibri" w:hAnsi="Calibri" w:eastAsia="Calibri" w:cs="Calibri" w:asciiTheme="minorAscii" w:hAnsiTheme="minorAscii" w:eastAsiaTheme="minorAscii" w:cstheme="minorAscii"/>
                <w:b w:val="0"/>
                <w:bCs w:val="0"/>
                <w:i w:val="0"/>
                <w:iCs w:val="0"/>
                <w:sz w:val="24"/>
                <w:szCs w:val="24"/>
              </w:rPr>
            </w:pPr>
            <w:r w:rsidRPr="3C5385F2" w:rsidR="3C5385F2">
              <w:rPr>
                <w:lang w:val="nl-NL"/>
              </w:rPr>
              <w:t>Trillingen</w:t>
            </w:r>
          </w:p>
        </w:tc>
        <w:tc>
          <w:tcPr>
            <w:tcW w:w="5895" w:type="dxa"/>
            <w:tcBorders>
              <w:top w:val="single" w:sz="6"/>
              <w:left w:val="single" w:sz="6"/>
              <w:bottom w:val="single" w:sz="6"/>
              <w:right w:val="single" w:sz="6"/>
            </w:tcBorders>
            <w:tcMar>
              <w:left w:w="105" w:type="dxa"/>
              <w:right w:w="105" w:type="dxa"/>
            </w:tcMar>
            <w:vAlign w:val="top"/>
          </w:tcPr>
          <w:p w:rsidR="3C5385F2" w:rsidP="3C5385F2" w:rsidRDefault="3C5385F2" w14:paraId="781BF6BF" w14:textId="7CABF784">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 xml:space="preserve">Het gebouw, waarin het bijwonen wordt gerealiseerd, is aan te merken als een trillinggevoelig gebouw. In de directe omgeving van de locatie voor het bijwonen vinden echter geen trillinghinder veroorzakende activiteiten plaats. </w:t>
            </w:r>
          </w:p>
          <w:p w:rsidR="3C5385F2" w:rsidP="3C5385F2" w:rsidRDefault="3C5385F2" w14:paraId="039B53ED" w14:textId="2858266A">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 xml:space="preserve">Daarnaast heeft het bijwonen ook niet het ontstaan van trillingen tot gevolg. </w:t>
            </w:r>
          </w:p>
          <w:p w:rsidR="3C5385F2" w:rsidP="3C5385F2" w:rsidRDefault="3C5385F2" w14:paraId="1F370BDB" w14:textId="4E8AE8A5">
            <w:pPr>
              <w:spacing w:line="280" w:lineRule="exact"/>
              <w:rPr>
                <w:rFonts w:ascii="Calibri" w:hAnsi="Calibri" w:eastAsia="Calibri" w:cs="Calibri" w:asciiTheme="minorAscii" w:hAnsiTheme="minorAscii" w:eastAsiaTheme="minorAscii" w:cstheme="minorAscii"/>
                <w:b w:val="0"/>
                <w:bCs w:val="0"/>
                <w:i w:val="0"/>
                <w:iCs w:val="0"/>
                <w:sz w:val="24"/>
                <w:szCs w:val="24"/>
              </w:rPr>
            </w:pPr>
          </w:p>
        </w:tc>
      </w:tr>
      <w:tr w:rsidR="3C5385F2" w:rsidTr="3C5385F2" w14:paraId="183FAFC7">
        <w:trPr>
          <w:trHeight w:val="300"/>
        </w:trPr>
        <w:tc>
          <w:tcPr>
            <w:tcW w:w="3165" w:type="dxa"/>
            <w:tcBorders>
              <w:top w:val="single" w:sz="6"/>
              <w:left w:val="single" w:sz="6"/>
              <w:bottom w:val="single" w:sz="6"/>
              <w:right w:val="single" w:sz="6"/>
            </w:tcBorders>
            <w:tcMar>
              <w:left w:w="105" w:type="dxa"/>
              <w:right w:w="105" w:type="dxa"/>
            </w:tcMar>
            <w:vAlign w:val="top"/>
          </w:tcPr>
          <w:p w:rsidR="3C5385F2" w:rsidP="3C5385F2" w:rsidRDefault="3C5385F2" w14:paraId="31AA3D63" w14:textId="22D4D69E">
            <w:pPr>
              <w:pStyle w:val="Heading3"/>
              <w:rPr>
                <w:rFonts w:ascii="Calibri" w:hAnsi="Calibri" w:eastAsia="Calibri" w:cs="Calibri" w:asciiTheme="minorAscii" w:hAnsiTheme="minorAscii" w:eastAsiaTheme="minorAscii" w:cstheme="minorAscii"/>
                <w:b w:val="0"/>
                <w:bCs w:val="0"/>
                <w:i w:val="0"/>
                <w:iCs w:val="0"/>
                <w:sz w:val="24"/>
                <w:szCs w:val="24"/>
              </w:rPr>
            </w:pPr>
            <w:r w:rsidRPr="3C5385F2" w:rsidR="3C5385F2">
              <w:rPr>
                <w:lang w:val="nl-NL"/>
              </w:rPr>
              <w:t>Bodemkwaliteit</w:t>
            </w:r>
          </w:p>
        </w:tc>
        <w:tc>
          <w:tcPr>
            <w:tcW w:w="5895" w:type="dxa"/>
            <w:tcBorders>
              <w:top w:val="single" w:sz="6"/>
              <w:left w:val="single" w:sz="6"/>
              <w:bottom w:val="single" w:sz="6"/>
              <w:right w:val="single" w:sz="6"/>
            </w:tcBorders>
            <w:tcMar>
              <w:left w:w="105" w:type="dxa"/>
              <w:right w:w="105" w:type="dxa"/>
            </w:tcMar>
            <w:vAlign w:val="top"/>
          </w:tcPr>
          <w:p w:rsidR="3C5385F2" w:rsidP="3C5385F2" w:rsidRDefault="3C5385F2" w14:paraId="70871F30" w14:textId="362DA352">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Het bijwonen wordt gerealiseerd op een bestaand woonperceel. De bodemkwaliteit van dit perceel is al als voldoende voor het wonen in de hoofdwoning beoordeeld. Daarmee is de bodemkwaliteit ook voldoende voor het bijwonen bij die hoofdwoning.</w:t>
            </w:r>
          </w:p>
          <w:p w:rsidR="3C5385F2" w:rsidP="3C5385F2" w:rsidRDefault="3C5385F2" w14:paraId="477344DE" w14:textId="4434E3B6">
            <w:pPr>
              <w:spacing w:line="280" w:lineRule="exact"/>
              <w:rPr>
                <w:rFonts w:ascii="Calibri" w:hAnsi="Calibri" w:eastAsia="Calibri" w:cs="Calibri" w:asciiTheme="minorAscii" w:hAnsiTheme="minorAscii" w:eastAsiaTheme="minorAscii" w:cstheme="minorAscii"/>
                <w:b w:val="0"/>
                <w:bCs w:val="0"/>
                <w:i w:val="0"/>
                <w:iCs w:val="0"/>
                <w:sz w:val="24"/>
                <w:szCs w:val="24"/>
              </w:rPr>
            </w:pPr>
          </w:p>
        </w:tc>
      </w:tr>
      <w:tr w:rsidR="3C5385F2" w:rsidTr="3C5385F2" w14:paraId="235EAEB8">
        <w:trPr>
          <w:trHeight w:val="300"/>
        </w:trPr>
        <w:tc>
          <w:tcPr>
            <w:tcW w:w="3165" w:type="dxa"/>
            <w:tcBorders>
              <w:top w:val="single" w:sz="6"/>
              <w:left w:val="single" w:sz="6"/>
              <w:bottom w:val="single" w:sz="6"/>
              <w:right w:val="single" w:sz="6"/>
            </w:tcBorders>
            <w:tcMar>
              <w:left w:w="105" w:type="dxa"/>
              <w:right w:w="105" w:type="dxa"/>
            </w:tcMar>
            <w:vAlign w:val="top"/>
          </w:tcPr>
          <w:p w:rsidR="3C5385F2" w:rsidP="3C5385F2" w:rsidRDefault="3C5385F2" w14:paraId="4112A882" w14:textId="2EE5A652">
            <w:pPr>
              <w:pStyle w:val="Heading3"/>
              <w:rPr>
                <w:rFonts w:ascii="Calibri" w:hAnsi="Calibri" w:eastAsia="Calibri" w:cs="Calibri" w:asciiTheme="minorAscii" w:hAnsiTheme="minorAscii" w:eastAsiaTheme="minorAscii" w:cstheme="minorAscii"/>
                <w:b w:val="0"/>
                <w:bCs w:val="0"/>
                <w:i w:val="0"/>
                <w:iCs w:val="0"/>
                <w:sz w:val="24"/>
                <w:szCs w:val="24"/>
              </w:rPr>
            </w:pPr>
            <w:r w:rsidRPr="3C5385F2" w:rsidR="3C5385F2">
              <w:rPr>
                <w:lang w:val="nl-NL"/>
              </w:rPr>
              <w:t>Geur</w:t>
            </w:r>
          </w:p>
        </w:tc>
        <w:tc>
          <w:tcPr>
            <w:tcW w:w="5895" w:type="dxa"/>
            <w:tcBorders>
              <w:top w:val="single" w:sz="6"/>
              <w:left w:val="single" w:sz="6"/>
              <w:bottom w:val="single" w:sz="6"/>
              <w:right w:val="single" w:sz="6"/>
            </w:tcBorders>
            <w:tcMar>
              <w:left w:w="105" w:type="dxa"/>
              <w:right w:w="105" w:type="dxa"/>
            </w:tcMar>
            <w:vAlign w:val="top"/>
          </w:tcPr>
          <w:p w:rsidR="3C5385F2" w:rsidP="3C5385F2" w:rsidRDefault="3C5385F2" w14:paraId="3B8FC824" w14:textId="326A1647">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Het gebouw, waarin het bijwonen wordt gerealiseerd, is aan te merken als een geurgevoelig object. In de directe omgeving van het woonperceel zijn echter geen geurhinder veroorzakende bedrijven of inrichtingen (zoals veehouderijen) gelegen. De locatie voor het bijwonen is niet gelegen binnen de aan te houden zones rond geurhinder veroorzakende bedrijven of inrichtingen. Van geurhinder zal bij het bijwonen geen sprake zijn.</w:t>
            </w:r>
          </w:p>
          <w:p w:rsidR="3C5385F2" w:rsidP="3C5385F2" w:rsidRDefault="3C5385F2" w14:paraId="57A7C6CC" w14:textId="066F0384">
            <w:pPr>
              <w:spacing w:line="280" w:lineRule="exact"/>
              <w:rPr>
                <w:rFonts w:ascii="Calibri" w:hAnsi="Calibri" w:eastAsia="Calibri" w:cs="Calibri" w:asciiTheme="minorAscii" w:hAnsiTheme="minorAscii" w:eastAsiaTheme="minorAscii" w:cstheme="minorAscii"/>
                <w:b w:val="0"/>
                <w:bCs w:val="0"/>
                <w:i w:val="0"/>
                <w:iCs w:val="0"/>
                <w:sz w:val="24"/>
                <w:szCs w:val="24"/>
              </w:rPr>
            </w:pPr>
          </w:p>
        </w:tc>
      </w:tr>
      <w:tr w:rsidR="3C5385F2" w:rsidTr="3C5385F2" w14:paraId="21B93E31">
        <w:trPr>
          <w:trHeight w:val="300"/>
        </w:trPr>
        <w:tc>
          <w:tcPr>
            <w:tcW w:w="3165" w:type="dxa"/>
            <w:tcBorders>
              <w:top w:val="single" w:sz="6"/>
              <w:left w:val="single" w:sz="6"/>
              <w:bottom w:val="single" w:sz="6"/>
              <w:right w:val="single" w:sz="6"/>
            </w:tcBorders>
            <w:tcMar>
              <w:left w:w="105" w:type="dxa"/>
              <w:right w:w="105" w:type="dxa"/>
            </w:tcMar>
            <w:vAlign w:val="top"/>
          </w:tcPr>
          <w:p w:rsidR="3C5385F2" w:rsidP="3C5385F2" w:rsidRDefault="3C5385F2" w14:paraId="3F353EF6" w14:textId="55BEB629">
            <w:pPr>
              <w:pStyle w:val="Heading3"/>
              <w:rPr>
                <w:rFonts w:ascii="Calibri" w:hAnsi="Calibri" w:eastAsia="Calibri" w:cs="Calibri" w:asciiTheme="minorAscii" w:hAnsiTheme="minorAscii" w:eastAsiaTheme="minorAscii" w:cstheme="minorAscii"/>
                <w:b w:val="0"/>
                <w:bCs w:val="0"/>
                <w:i w:val="0"/>
                <w:iCs w:val="0"/>
                <w:sz w:val="24"/>
                <w:szCs w:val="24"/>
              </w:rPr>
            </w:pPr>
            <w:r w:rsidRPr="3C5385F2" w:rsidR="3C5385F2">
              <w:rPr>
                <w:lang w:val="nl-NL"/>
              </w:rPr>
              <w:t>V</w:t>
            </w:r>
            <w:r w:rsidRPr="3C5385F2" w:rsidR="3C5385F2">
              <w:rPr>
                <w:lang w:val="nl-NL"/>
              </w:rPr>
              <w:t>olksgezondheid: veehouderij</w:t>
            </w:r>
          </w:p>
        </w:tc>
        <w:tc>
          <w:tcPr>
            <w:tcW w:w="5895" w:type="dxa"/>
            <w:tcBorders>
              <w:top w:val="single" w:sz="6"/>
              <w:left w:val="single" w:sz="6"/>
              <w:bottom w:val="single" w:sz="6"/>
              <w:right w:val="single" w:sz="6"/>
            </w:tcBorders>
            <w:tcMar>
              <w:left w:w="105" w:type="dxa"/>
              <w:right w:w="105" w:type="dxa"/>
            </w:tcMar>
            <w:vAlign w:val="top"/>
          </w:tcPr>
          <w:p w:rsidR="3C5385F2" w:rsidP="3C5385F2" w:rsidRDefault="3C5385F2" w14:paraId="50A06600" w14:textId="0386D4C8">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Het bijwonen bij een hoofdwoning is gevoelig voor activiteiten, die schadelijk kunnen zijn voor de volksgezondheid. De ligging in de nabijheid van veehouderijen kan gezondheidsrisico’s met zich meebrengen. De locatie van het gebouw, waarin het bijwonen wordt gerealiseerd, is op voldoende afstand van veehouderijen (varkens: 200 m, kippen: 500 m, geiten: 1.000 m, gemeten vanaf de grens van het bedrijfsperceel tot aan het gebouw, waarin het bijwonen wordt gerealiseerd) gelegen, om deze risico’s tot een aanvaardbaar niveau te beperken.</w:t>
            </w:r>
          </w:p>
          <w:p w:rsidR="3C5385F2" w:rsidP="3C5385F2" w:rsidRDefault="3C5385F2" w14:paraId="7C9F950C" w14:textId="1FF759CD">
            <w:pPr>
              <w:spacing w:line="280" w:lineRule="exact"/>
              <w:rPr>
                <w:rFonts w:ascii="Calibri" w:hAnsi="Calibri" w:eastAsia="Calibri" w:cs="Calibri" w:asciiTheme="minorAscii" w:hAnsiTheme="minorAscii" w:eastAsiaTheme="minorAscii" w:cstheme="minorAscii"/>
                <w:b w:val="0"/>
                <w:bCs w:val="0"/>
                <w:i w:val="0"/>
                <w:iCs w:val="0"/>
                <w:sz w:val="24"/>
                <w:szCs w:val="24"/>
              </w:rPr>
            </w:pPr>
          </w:p>
        </w:tc>
      </w:tr>
      <w:tr w:rsidR="3C5385F2" w:rsidTr="3C5385F2" w14:paraId="627C81F1">
        <w:trPr>
          <w:trHeight w:val="300"/>
        </w:trPr>
        <w:tc>
          <w:tcPr>
            <w:tcW w:w="3165" w:type="dxa"/>
            <w:tcBorders>
              <w:top w:val="single" w:sz="6"/>
              <w:left w:val="single" w:sz="6"/>
              <w:bottom w:val="single" w:sz="6"/>
              <w:right w:val="single" w:sz="6"/>
            </w:tcBorders>
            <w:tcMar>
              <w:left w:w="105" w:type="dxa"/>
              <w:right w:w="105" w:type="dxa"/>
            </w:tcMar>
            <w:vAlign w:val="top"/>
          </w:tcPr>
          <w:p w:rsidR="3C5385F2" w:rsidP="3C5385F2" w:rsidRDefault="3C5385F2" w14:paraId="2BA20C1E" w14:textId="2AE2BF83">
            <w:pPr>
              <w:pStyle w:val="Heading3"/>
              <w:rPr>
                <w:rFonts w:ascii="Calibri" w:hAnsi="Calibri" w:eastAsia="Calibri" w:cs="Calibri" w:asciiTheme="minorAscii" w:hAnsiTheme="minorAscii" w:eastAsiaTheme="minorAscii" w:cstheme="minorAscii"/>
                <w:b w:val="0"/>
                <w:bCs w:val="0"/>
                <w:i w:val="0"/>
                <w:iCs w:val="0"/>
                <w:sz w:val="24"/>
                <w:szCs w:val="24"/>
              </w:rPr>
            </w:pPr>
            <w:r w:rsidRPr="3C5385F2" w:rsidR="3C5385F2">
              <w:rPr>
                <w:lang w:val="nl-NL"/>
              </w:rPr>
              <w:t>Volksgezondheid: gewasbescherming</w:t>
            </w:r>
          </w:p>
        </w:tc>
        <w:tc>
          <w:tcPr>
            <w:tcW w:w="5895" w:type="dxa"/>
            <w:tcBorders>
              <w:top w:val="single" w:sz="6"/>
              <w:left w:val="single" w:sz="6"/>
              <w:bottom w:val="single" w:sz="6"/>
              <w:right w:val="single" w:sz="6"/>
            </w:tcBorders>
            <w:tcMar>
              <w:left w:w="105" w:type="dxa"/>
              <w:right w:w="105" w:type="dxa"/>
            </w:tcMar>
            <w:vAlign w:val="top"/>
          </w:tcPr>
          <w:p w:rsidR="3C5385F2" w:rsidP="3C5385F2" w:rsidRDefault="3C5385F2" w14:paraId="6414DD23" w14:textId="4F31C3B5">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Het bijwonen bij een hoofdwoning is gevoelig voor activiteiten, die schadelijk kunnen zijn voor de volksgezondheid. Het gebruik van gewasbeschermingsmiddelen kan gezondheidsrisico’s met zich meebrengen. De locatie van het gebouw, waarin het bijwonen wordt gerealiseerd, is gelegen buiten de spuitzone van 50 m rond agrarische percelen, waarop gewasbeschermingsmiddelen kunnen worden toegepast.</w:t>
            </w:r>
          </w:p>
          <w:p w:rsidR="3C5385F2" w:rsidP="3C5385F2" w:rsidRDefault="3C5385F2" w14:paraId="4DAF3284" w14:textId="6D0C7F50">
            <w:pPr>
              <w:spacing w:line="280" w:lineRule="exact"/>
              <w:rPr>
                <w:rFonts w:ascii="Calibri" w:hAnsi="Calibri" w:eastAsia="Calibri" w:cs="Calibri" w:asciiTheme="minorAscii" w:hAnsiTheme="minorAscii" w:eastAsiaTheme="minorAscii" w:cstheme="minorAscii"/>
                <w:b w:val="0"/>
                <w:bCs w:val="0"/>
                <w:i w:val="0"/>
                <w:iCs w:val="0"/>
                <w:sz w:val="24"/>
                <w:szCs w:val="24"/>
              </w:rPr>
            </w:pPr>
          </w:p>
        </w:tc>
      </w:tr>
      <w:tr w:rsidR="3C5385F2" w:rsidTr="3C5385F2" w14:paraId="291605E3">
        <w:trPr>
          <w:trHeight w:val="1830"/>
        </w:trPr>
        <w:tc>
          <w:tcPr>
            <w:tcW w:w="3165" w:type="dxa"/>
            <w:tcBorders>
              <w:top w:val="single" w:sz="6"/>
              <w:left w:val="single" w:sz="6"/>
              <w:bottom w:val="single" w:sz="6"/>
              <w:right w:val="single" w:sz="6"/>
            </w:tcBorders>
            <w:tcMar>
              <w:left w:w="105" w:type="dxa"/>
              <w:right w:w="105" w:type="dxa"/>
            </w:tcMar>
            <w:vAlign w:val="top"/>
          </w:tcPr>
          <w:p w:rsidR="3C5385F2" w:rsidP="3C5385F2" w:rsidRDefault="3C5385F2" w14:paraId="577FB3F6" w14:textId="134AF77D">
            <w:pPr>
              <w:pStyle w:val="Heading3"/>
              <w:rPr>
                <w:rFonts w:ascii="Calibri" w:hAnsi="Calibri" w:eastAsia="Calibri" w:cs="Calibri" w:asciiTheme="minorAscii" w:hAnsiTheme="minorAscii" w:eastAsiaTheme="minorAscii" w:cstheme="minorAscii"/>
                <w:b w:val="0"/>
                <w:bCs w:val="0"/>
                <w:i w:val="0"/>
                <w:iCs w:val="0"/>
                <w:sz w:val="24"/>
                <w:szCs w:val="24"/>
              </w:rPr>
            </w:pPr>
            <w:r w:rsidRPr="3C5385F2" w:rsidR="3C5385F2">
              <w:rPr>
                <w:lang w:val="nl-NL"/>
              </w:rPr>
              <w:t xml:space="preserve">Bedrijven en </w:t>
            </w:r>
          </w:p>
          <w:p w:rsidR="3C5385F2" w:rsidP="3C5385F2" w:rsidRDefault="3C5385F2" w14:paraId="2AA13194" w14:textId="47AB9CC0">
            <w:pPr>
              <w:pStyle w:val="Heading3"/>
              <w:rPr>
                <w:rFonts w:ascii="Calibri" w:hAnsi="Calibri" w:eastAsia="Calibri" w:cs="Calibri" w:asciiTheme="minorAscii" w:hAnsiTheme="minorAscii" w:eastAsiaTheme="minorAscii" w:cstheme="minorAscii"/>
                <w:b w:val="0"/>
                <w:bCs w:val="0"/>
                <w:i w:val="0"/>
                <w:iCs w:val="0"/>
                <w:sz w:val="24"/>
                <w:szCs w:val="24"/>
              </w:rPr>
            </w:pPr>
            <w:r w:rsidRPr="3C5385F2" w:rsidR="3C5385F2">
              <w:rPr>
                <w:lang w:val="nl-NL"/>
              </w:rPr>
              <w:t>milieuzonering</w:t>
            </w:r>
          </w:p>
        </w:tc>
        <w:tc>
          <w:tcPr>
            <w:tcW w:w="5895" w:type="dxa"/>
            <w:tcBorders>
              <w:top w:val="single" w:sz="6"/>
              <w:left w:val="single" w:sz="6"/>
              <w:bottom w:val="single" w:sz="6"/>
              <w:right w:val="single" w:sz="6"/>
            </w:tcBorders>
            <w:tcMar>
              <w:left w:w="105" w:type="dxa"/>
              <w:right w:w="105" w:type="dxa"/>
            </w:tcMar>
            <w:vAlign w:val="top"/>
          </w:tcPr>
          <w:p w:rsidR="3C5385F2" w:rsidP="3C5385F2" w:rsidRDefault="3C5385F2" w14:paraId="36926059" w14:textId="78F290DB">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In de directe omgeving van het woonperceel van de hoofdwoning zijn geen bedrijven of inrichtingen uit milieucategorie 3 of hoger gelegen, die een negatieve invloed (geluid, stank, stof) op het woon- en leefmilieu van het gebouw, waarin het bijwonen wordt gerealiseerd, kunnen hebben.</w:t>
            </w:r>
          </w:p>
        </w:tc>
      </w:tr>
      <w:tr w:rsidR="3C5385F2" w:rsidTr="3C5385F2" w14:paraId="7E2918A0">
        <w:trPr>
          <w:trHeight w:val="300"/>
        </w:trPr>
        <w:tc>
          <w:tcPr>
            <w:tcW w:w="3165" w:type="dxa"/>
            <w:tcBorders>
              <w:top w:val="single" w:sz="6"/>
              <w:left w:val="single" w:sz="6"/>
              <w:bottom w:val="single" w:sz="6"/>
              <w:right w:val="single" w:sz="6"/>
            </w:tcBorders>
            <w:tcMar>
              <w:left w:w="105" w:type="dxa"/>
              <w:right w:w="105" w:type="dxa"/>
            </w:tcMar>
            <w:vAlign w:val="top"/>
          </w:tcPr>
          <w:p w:rsidR="3C5385F2" w:rsidP="3C5385F2" w:rsidRDefault="3C5385F2" w14:paraId="5F7797BB" w14:textId="145A1514">
            <w:pPr>
              <w:pStyle w:val="Heading3"/>
              <w:rPr>
                <w:rFonts w:ascii="Calibri" w:hAnsi="Calibri" w:eastAsia="Calibri" w:cs="Calibri" w:asciiTheme="minorAscii" w:hAnsiTheme="minorAscii" w:eastAsiaTheme="minorAscii" w:cstheme="minorAscii"/>
                <w:b w:val="0"/>
                <w:bCs w:val="0"/>
                <w:i w:val="0"/>
                <w:iCs w:val="0"/>
                <w:sz w:val="24"/>
                <w:szCs w:val="24"/>
              </w:rPr>
            </w:pPr>
            <w:r w:rsidRPr="3C5385F2" w:rsidR="3C5385F2">
              <w:rPr>
                <w:lang w:val="nl-NL"/>
              </w:rPr>
              <w:t xml:space="preserve">Stedenbouwkundige </w:t>
            </w:r>
          </w:p>
          <w:p w:rsidR="3C5385F2" w:rsidP="3C5385F2" w:rsidRDefault="3C5385F2" w14:paraId="4A6FA2DE" w14:textId="1C3F298D">
            <w:pPr>
              <w:pStyle w:val="Heading3"/>
              <w:rPr>
                <w:rFonts w:ascii="Calibri" w:hAnsi="Calibri" w:eastAsia="Calibri" w:cs="Calibri" w:asciiTheme="minorAscii" w:hAnsiTheme="minorAscii" w:eastAsiaTheme="minorAscii" w:cstheme="minorAscii"/>
                <w:b w:val="0"/>
                <w:bCs w:val="0"/>
                <w:i w:val="0"/>
                <w:iCs w:val="0"/>
                <w:sz w:val="24"/>
                <w:szCs w:val="24"/>
              </w:rPr>
            </w:pPr>
            <w:r w:rsidRPr="3C5385F2" w:rsidR="3C5385F2">
              <w:rPr>
                <w:lang w:val="nl-NL"/>
              </w:rPr>
              <w:t>waarden</w:t>
            </w:r>
          </w:p>
        </w:tc>
        <w:tc>
          <w:tcPr>
            <w:tcW w:w="5895" w:type="dxa"/>
            <w:tcBorders>
              <w:top w:val="single" w:sz="6"/>
              <w:left w:val="single" w:sz="6"/>
              <w:bottom w:val="single" w:sz="6"/>
              <w:right w:val="single" w:sz="6"/>
            </w:tcBorders>
            <w:tcMar>
              <w:left w:w="105" w:type="dxa"/>
              <w:right w:w="105" w:type="dxa"/>
            </w:tcMar>
            <w:vAlign w:val="top"/>
          </w:tcPr>
          <w:p w:rsidR="3C5385F2" w:rsidP="3C5385F2" w:rsidRDefault="3C5385F2" w14:paraId="34920731" w14:textId="49B1DBA5">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trike w:val="0"/>
                <w:dstrike w:val="0"/>
                <w:sz w:val="24"/>
                <w:szCs w:val="24"/>
                <w:u w:val="single"/>
                <w:lang w:val="nl-NL"/>
              </w:rPr>
              <w:t>Keuze 1.</w:t>
            </w:r>
          </w:p>
          <w:p w:rsidR="3C5385F2" w:rsidP="3C5385F2" w:rsidRDefault="3C5385F2" w14:paraId="681D5B08" w14:textId="737B87AB">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Het bijwonen wordt gerealiseerd binnen de bestaande bouwmogelijkheden op het betreffende woonperceel. Deze bouwmogelijkheden zijn eerder al als stedenbouwkundig aanvaardbaar beoordeeld. Stedenbouwkundige waarden zijn daardoor niet in het geding.</w:t>
            </w:r>
          </w:p>
          <w:p w:rsidR="3C5385F2" w:rsidP="3C5385F2" w:rsidRDefault="3C5385F2" w14:paraId="3D6AF0AA" w14:textId="05086A8C">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trike w:val="0"/>
                <w:dstrike w:val="0"/>
                <w:sz w:val="24"/>
                <w:szCs w:val="24"/>
                <w:u w:val="single"/>
                <w:lang w:val="nl-NL"/>
              </w:rPr>
              <w:t>Keuze 2.</w:t>
            </w:r>
          </w:p>
          <w:p w:rsidR="3C5385F2" w:rsidP="3C5385F2" w:rsidRDefault="3C5385F2" w14:paraId="42FF4092" w14:textId="1CFA9CD4">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Het bijwonen wordt gerealiseerd in een tijdelijke woonunit. Na beëindiging van het bijwonen wordt deze tijdelijke woonunit weer verwijderd en ontstaat weer de oorspronkelijke stedenbouwkundige situatie.</w:t>
            </w:r>
          </w:p>
          <w:p w:rsidR="3C5385F2" w:rsidP="3C5385F2" w:rsidRDefault="3C5385F2" w14:paraId="1D9DB4E3" w14:textId="27CE8FFF">
            <w:pPr>
              <w:spacing w:line="280" w:lineRule="exact"/>
              <w:rPr>
                <w:rFonts w:ascii="Calibri" w:hAnsi="Calibri" w:eastAsia="Calibri" w:cs="Calibri" w:asciiTheme="minorAscii" w:hAnsiTheme="minorAscii" w:eastAsiaTheme="minorAscii" w:cstheme="minorAscii"/>
                <w:b w:val="0"/>
                <w:bCs w:val="0"/>
                <w:i w:val="0"/>
                <w:iCs w:val="0"/>
                <w:sz w:val="24"/>
                <w:szCs w:val="24"/>
              </w:rPr>
            </w:pPr>
          </w:p>
        </w:tc>
      </w:tr>
      <w:tr w:rsidR="3C5385F2" w:rsidTr="3C5385F2" w14:paraId="676DCB6B">
        <w:trPr>
          <w:trHeight w:val="300"/>
        </w:trPr>
        <w:tc>
          <w:tcPr>
            <w:tcW w:w="3165" w:type="dxa"/>
            <w:tcBorders>
              <w:top w:val="single" w:sz="6"/>
              <w:left w:val="single" w:sz="6"/>
              <w:bottom w:val="single" w:sz="6"/>
              <w:right w:val="single" w:sz="6"/>
            </w:tcBorders>
            <w:tcMar>
              <w:left w:w="105" w:type="dxa"/>
              <w:right w:w="105" w:type="dxa"/>
            </w:tcMar>
            <w:vAlign w:val="top"/>
          </w:tcPr>
          <w:p w:rsidR="3C5385F2" w:rsidP="3C5385F2" w:rsidRDefault="3C5385F2" w14:paraId="354675AB" w14:textId="4950324E">
            <w:pPr>
              <w:pStyle w:val="Heading3"/>
              <w:rPr>
                <w:rFonts w:ascii="Calibri" w:hAnsi="Calibri" w:eastAsia="Calibri" w:cs="Calibri" w:asciiTheme="minorAscii" w:hAnsiTheme="minorAscii" w:eastAsiaTheme="minorAscii" w:cstheme="minorAscii"/>
                <w:b w:val="0"/>
                <w:bCs w:val="0"/>
                <w:i w:val="0"/>
                <w:iCs w:val="0"/>
                <w:sz w:val="24"/>
                <w:szCs w:val="24"/>
              </w:rPr>
            </w:pPr>
            <w:r w:rsidRPr="3C5385F2" w:rsidR="3C5385F2">
              <w:rPr>
                <w:lang w:val="nl-NL"/>
              </w:rPr>
              <w:t xml:space="preserve">Cultuurhistorische </w:t>
            </w:r>
          </w:p>
          <w:p w:rsidR="3C5385F2" w:rsidP="3C5385F2" w:rsidRDefault="3C5385F2" w14:paraId="32FAFFD9" w14:textId="51049909">
            <w:pPr>
              <w:pStyle w:val="Heading3"/>
              <w:rPr>
                <w:rFonts w:ascii="Calibri" w:hAnsi="Calibri" w:eastAsia="Calibri" w:cs="Calibri" w:asciiTheme="minorAscii" w:hAnsiTheme="minorAscii" w:eastAsiaTheme="minorAscii" w:cstheme="minorAscii"/>
                <w:b w:val="0"/>
                <w:bCs w:val="0"/>
                <w:i w:val="0"/>
                <w:iCs w:val="0"/>
                <w:sz w:val="24"/>
                <w:szCs w:val="24"/>
              </w:rPr>
            </w:pPr>
            <w:r w:rsidRPr="3C5385F2" w:rsidR="3C5385F2">
              <w:rPr>
                <w:lang w:val="nl-NL"/>
              </w:rPr>
              <w:t>waarden</w:t>
            </w:r>
          </w:p>
        </w:tc>
        <w:tc>
          <w:tcPr>
            <w:tcW w:w="5895" w:type="dxa"/>
            <w:tcBorders>
              <w:top w:val="single" w:sz="6"/>
              <w:left w:val="single" w:sz="6"/>
              <w:bottom w:val="single" w:sz="6"/>
              <w:right w:val="single" w:sz="6"/>
            </w:tcBorders>
            <w:tcMar>
              <w:left w:w="105" w:type="dxa"/>
              <w:right w:w="105" w:type="dxa"/>
            </w:tcMar>
            <w:vAlign w:val="top"/>
          </w:tcPr>
          <w:p w:rsidR="3C5385F2" w:rsidP="3C5385F2" w:rsidRDefault="3C5385F2" w14:paraId="49ECB661" w14:textId="796661FE">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trike w:val="0"/>
                <w:dstrike w:val="0"/>
                <w:sz w:val="24"/>
                <w:szCs w:val="24"/>
                <w:u w:val="single"/>
                <w:lang w:val="nl-NL"/>
              </w:rPr>
              <w:t>Keuze 1.</w:t>
            </w:r>
          </w:p>
          <w:p w:rsidR="3C5385F2" w:rsidP="3C5385F2" w:rsidRDefault="3C5385F2" w14:paraId="251EFBBC" w14:textId="724746A9">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Het bijwonen wordt gerealiseerd binnen de bestaande bouwmogelijkheden op het betreffende woonperceel. Deze bouwmogelijkheden zijn eerder al als aanvaardbaar beoordeeld en toelaatbaar geacht. Het realiseren van het bijwonen binnen deze bouwmogelijkheden vormt geen extra aantasting van eventueel aanwezige cultuurhistorische waarden.</w:t>
            </w:r>
          </w:p>
          <w:p w:rsidR="3C5385F2" w:rsidP="3C5385F2" w:rsidRDefault="3C5385F2" w14:paraId="3AE107FE" w14:textId="4D963E37">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trike w:val="0"/>
                <w:dstrike w:val="0"/>
                <w:sz w:val="24"/>
                <w:szCs w:val="24"/>
                <w:u w:val="single"/>
                <w:lang w:val="nl-NL"/>
              </w:rPr>
              <w:t>Keuze 2.</w:t>
            </w:r>
          </w:p>
          <w:p w:rsidR="3C5385F2" w:rsidP="3C5385F2" w:rsidRDefault="3C5385F2" w14:paraId="64CCDCCD" w14:textId="67A4211D">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Het bijwonen wordt gerealiseerd in een tijdelijke woonunit. Deze kan op het perceel geplaatst worden zonder aantasting van cultuurhistorische waarden. Na beëindiging van het bijwonen wordt de tijdelijke woonunit weer verwijderd en ontstaat weer de oorspronkelijke situatie.</w:t>
            </w:r>
          </w:p>
          <w:p w:rsidR="3C5385F2" w:rsidP="3C5385F2" w:rsidRDefault="3C5385F2" w14:paraId="1882DDAF" w14:textId="1394F84F">
            <w:pPr>
              <w:spacing w:line="280" w:lineRule="exact"/>
              <w:rPr>
                <w:rFonts w:ascii="Calibri" w:hAnsi="Calibri" w:eastAsia="Calibri" w:cs="Calibri" w:asciiTheme="minorAscii" w:hAnsiTheme="minorAscii" w:eastAsiaTheme="minorAscii" w:cstheme="minorAscii"/>
                <w:b w:val="0"/>
                <w:bCs w:val="0"/>
                <w:i w:val="0"/>
                <w:iCs w:val="0"/>
                <w:sz w:val="24"/>
                <w:szCs w:val="24"/>
              </w:rPr>
            </w:pPr>
          </w:p>
        </w:tc>
      </w:tr>
      <w:tr w:rsidR="3C5385F2" w:rsidTr="3C5385F2" w14:paraId="19A41607">
        <w:trPr>
          <w:trHeight w:val="300"/>
        </w:trPr>
        <w:tc>
          <w:tcPr>
            <w:tcW w:w="3165" w:type="dxa"/>
            <w:tcBorders>
              <w:top w:val="single" w:sz="6"/>
              <w:left w:val="single" w:sz="6"/>
              <w:bottom w:val="single" w:sz="6"/>
              <w:right w:val="single" w:sz="6"/>
            </w:tcBorders>
            <w:tcMar>
              <w:left w:w="105" w:type="dxa"/>
              <w:right w:w="105" w:type="dxa"/>
            </w:tcMar>
            <w:vAlign w:val="top"/>
          </w:tcPr>
          <w:p w:rsidR="3C5385F2" w:rsidP="3C5385F2" w:rsidRDefault="3C5385F2" w14:paraId="1BFC6A66" w14:textId="07A36E86">
            <w:pPr>
              <w:pStyle w:val="Heading3"/>
              <w:rPr>
                <w:rFonts w:ascii="Calibri" w:hAnsi="Calibri" w:eastAsia="Calibri" w:cs="Calibri" w:asciiTheme="minorAscii" w:hAnsiTheme="minorAscii" w:eastAsiaTheme="minorAscii" w:cstheme="minorAscii"/>
                <w:b w:val="0"/>
                <w:bCs w:val="0"/>
                <w:i w:val="0"/>
                <w:iCs w:val="0"/>
                <w:sz w:val="24"/>
                <w:szCs w:val="24"/>
              </w:rPr>
            </w:pPr>
            <w:r w:rsidRPr="3C5385F2" w:rsidR="3C5385F2">
              <w:rPr>
                <w:lang w:val="nl-NL"/>
              </w:rPr>
              <w:t>Archeologische waarden</w:t>
            </w:r>
          </w:p>
        </w:tc>
        <w:tc>
          <w:tcPr>
            <w:tcW w:w="5895" w:type="dxa"/>
            <w:tcBorders>
              <w:top w:val="single" w:sz="6"/>
              <w:left w:val="single" w:sz="6"/>
              <w:bottom w:val="single" w:sz="6"/>
              <w:right w:val="single" w:sz="6"/>
            </w:tcBorders>
            <w:tcMar>
              <w:left w:w="105" w:type="dxa"/>
              <w:right w:w="105" w:type="dxa"/>
            </w:tcMar>
            <w:vAlign w:val="top"/>
          </w:tcPr>
          <w:p w:rsidR="3C5385F2" w:rsidP="3C5385F2" w:rsidRDefault="3C5385F2" w14:paraId="7BF88C20" w14:textId="2B58A914">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trike w:val="0"/>
                <w:dstrike w:val="0"/>
                <w:sz w:val="24"/>
                <w:szCs w:val="24"/>
                <w:u w:val="single"/>
                <w:lang w:val="nl-NL"/>
              </w:rPr>
              <w:t>Keuze 1.</w:t>
            </w:r>
          </w:p>
          <w:p w:rsidR="3C5385F2" w:rsidP="3C5385F2" w:rsidRDefault="3C5385F2" w14:paraId="264BEBC5" w14:textId="1877ABA2">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Het bijwonen wordt gerealiseerd binnen de bestaande bouwmogelijkheden op het betreffende woonperceel. Deze bouwmogelijkheden zijn eerder al als aanvaardbaar beoordeeld en toelaatbaar geacht. Het realiseren van het bijwonen binnen deze bouwmogelijkheden vormt geen extra aantasting van eventueel aanwezige archeologische waarden.</w:t>
            </w:r>
          </w:p>
          <w:p w:rsidR="3C5385F2" w:rsidP="3C5385F2" w:rsidRDefault="3C5385F2" w14:paraId="4F07020D" w14:textId="0E51A679">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trike w:val="0"/>
                <w:dstrike w:val="0"/>
                <w:sz w:val="24"/>
                <w:szCs w:val="24"/>
                <w:u w:val="single"/>
                <w:lang w:val="nl-NL"/>
              </w:rPr>
              <w:t>Keuze 2.</w:t>
            </w:r>
          </w:p>
          <w:p w:rsidR="3C5385F2" w:rsidP="3C5385F2" w:rsidRDefault="3C5385F2" w14:paraId="334216AC" w14:textId="43E0AF35">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Het bijwonen wordt gerealiseerd in een tijdelijke woonunit. Deze kan op het perceel geplaatst worden zonder aantasting van archeologische waarden.</w:t>
            </w:r>
          </w:p>
          <w:p w:rsidR="3C5385F2" w:rsidP="3C5385F2" w:rsidRDefault="3C5385F2" w14:paraId="0B1A19DD" w14:textId="5ECFE2D8">
            <w:pPr>
              <w:spacing w:line="280" w:lineRule="exact"/>
              <w:rPr>
                <w:rFonts w:ascii="Calibri" w:hAnsi="Calibri" w:eastAsia="Calibri" w:cs="Calibri" w:asciiTheme="minorAscii" w:hAnsiTheme="minorAscii" w:eastAsiaTheme="minorAscii" w:cstheme="minorAscii"/>
                <w:b w:val="0"/>
                <w:bCs w:val="0"/>
                <w:i w:val="0"/>
                <w:iCs w:val="0"/>
                <w:sz w:val="24"/>
                <w:szCs w:val="24"/>
              </w:rPr>
            </w:pPr>
          </w:p>
        </w:tc>
      </w:tr>
      <w:tr w:rsidR="3C5385F2" w:rsidTr="3C5385F2" w14:paraId="6CD6F269">
        <w:trPr>
          <w:trHeight w:val="300"/>
        </w:trPr>
        <w:tc>
          <w:tcPr>
            <w:tcW w:w="3165" w:type="dxa"/>
            <w:tcBorders>
              <w:top w:val="single" w:sz="6"/>
              <w:left w:val="single" w:sz="6"/>
              <w:bottom w:val="single" w:sz="6"/>
              <w:right w:val="single" w:sz="6"/>
            </w:tcBorders>
            <w:tcMar>
              <w:left w:w="105" w:type="dxa"/>
              <w:right w:w="105" w:type="dxa"/>
            </w:tcMar>
            <w:vAlign w:val="top"/>
          </w:tcPr>
          <w:p w:rsidR="3C5385F2" w:rsidP="3C5385F2" w:rsidRDefault="3C5385F2" w14:paraId="6E8903B8" w14:textId="5E3E4F4E">
            <w:pPr>
              <w:pStyle w:val="Heading3"/>
              <w:rPr>
                <w:rFonts w:ascii="Calibri" w:hAnsi="Calibri" w:eastAsia="Calibri" w:cs="Calibri" w:asciiTheme="minorAscii" w:hAnsiTheme="minorAscii" w:eastAsiaTheme="minorAscii" w:cstheme="minorAscii"/>
                <w:b w:val="0"/>
                <w:bCs w:val="0"/>
                <w:i w:val="0"/>
                <w:iCs w:val="0"/>
                <w:sz w:val="24"/>
                <w:szCs w:val="24"/>
              </w:rPr>
            </w:pPr>
            <w:r w:rsidRPr="3C5385F2" w:rsidR="3C5385F2">
              <w:rPr>
                <w:lang w:val="nl-NL"/>
              </w:rPr>
              <w:t xml:space="preserve">Ecologische waarden, </w:t>
            </w:r>
          </w:p>
          <w:p w:rsidR="3C5385F2" w:rsidP="3C5385F2" w:rsidRDefault="3C5385F2" w14:paraId="289E88A9" w14:textId="4E6B1A34">
            <w:pPr>
              <w:pStyle w:val="Heading3"/>
              <w:rPr>
                <w:rFonts w:ascii="Calibri" w:hAnsi="Calibri" w:eastAsia="Calibri" w:cs="Calibri" w:asciiTheme="minorAscii" w:hAnsiTheme="minorAscii" w:eastAsiaTheme="minorAscii" w:cstheme="minorAscii"/>
                <w:b w:val="0"/>
                <w:bCs w:val="0"/>
                <w:i w:val="0"/>
                <w:iCs w:val="0"/>
                <w:sz w:val="24"/>
                <w:szCs w:val="24"/>
              </w:rPr>
            </w:pPr>
            <w:r w:rsidRPr="3C5385F2" w:rsidR="3C5385F2">
              <w:rPr>
                <w:lang w:val="nl-NL"/>
              </w:rPr>
              <w:t>gebiedsbescherming</w:t>
            </w:r>
          </w:p>
        </w:tc>
        <w:tc>
          <w:tcPr>
            <w:tcW w:w="5895" w:type="dxa"/>
            <w:tcBorders>
              <w:top w:val="single" w:sz="6"/>
              <w:left w:val="single" w:sz="6"/>
              <w:bottom w:val="single" w:sz="6"/>
              <w:right w:val="single" w:sz="6"/>
            </w:tcBorders>
            <w:tcMar>
              <w:left w:w="105" w:type="dxa"/>
              <w:right w:w="105" w:type="dxa"/>
            </w:tcMar>
            <w:vAlign w:val="top"/>
          </w:tcPr>
          <w:p w:rsidR="3C5385F2" w:rsidP="3C5385F2" w:rsidRDefault="3C5385F2" w14:paraId="51784242" w14:textId="4AAB90B7">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Het bijwonen wordt gerealiseerd op een bestaand woonperceel met daarop al een woning. Op het perceel wordt al gewoond. De aanwezigheid van maximaal 2 extra personen op datzelfde woonperceel zal nauwelijks of geen negatieve effecten op natuurgebieden in de omgeving hebben.</w:t>
            </w:r>
          </w:p>
          <w:p w:rsidR="3C5385F2" w:rsidP="3C5385F2" w:rsidRDefault="3C5385F2" w14:paraId="68D0BE2B" w14:textId="7EC3FCD3">
            <w:pPr>
              <w:spacing w:line="280" w:lineRule="exact"/>
              <w:rPr>
                <w:rFonts w:ascii="Calibri" w:hAnsi="Calibri" w:eastAsia="Calibri" w:cs="Calibri" w:asciiTheme="minorAscii" w:hAnsiTheme="minorAscii" w:eastAsiaTheme="minorAscii" w:cstheme="minorAscii"/>
                <w:b w:val="0"/>
                <w:bCs w:val="0"/>
                <w:i w:val="0"/>
                <w:iCs w:val="0"/>
                <w:sz w:val="24"/>
                <w:szCs w:val="24"/>
              </w:rPr>
            </w:pPr>
          </w:p>
        </w:tc>
      </w:tr>
      <w:tr w:rsidR="3C5385F2" w:rsidTr="3C5385F2" w14:paraId="55E34630">
        <w:trPr>
          <w:trHeight w:val="300"/>
        </w:trPr>
        <w:tc>
          <w:tcPr>
            <w:tcW w:w="3165" w:type="dxa"/>
            <w:tcBorders>
              <w:top w:val="single" w:sz="6"/>
              <w:left w:val="single" w:sz="6"/>
              <w:bottom w:val="single" w:sz="6"/>
              <w:right w:val="single" w:sz="6"/>
            </w:tcBorders>
            <w:tcMar>
              <w:left w:w="105" w:type="dxa"/>
              <w:right w:w="105" w:type="dxa"/>
            </w:tcMar>
            <w:vAlign w:val="top"/>
          </w:tcPr>
          <w:p w:rsidR="3C5385F2" w:rsidP="3C5385F2" w:rsidRDefault="3C5385F2" w14:paraId="2F0E71A1" w14:textId="3CD76380">
            <w:pPr>
              <w:pStyle w:val="Heading3"/>
              <w:rPr>
                <w:rFonts w:ascii="Calibri" w:hAnsi="Calibri" w:eastAsia="Calibri" w:cs="Calibri" w:asciiTheme="minorAscii" w:hAnsiTheme="minorAscii" w:eastAsiaTheme="minorAscii" w:cstheme="minorAscii"/>
                <w:b w:val="0"/>
                <w:bCs w:val="0"/>
                <w:i w:val="0"/>
                <w:iCs w:val="0"/>
                <w:sz w:val="24"/>
                <w:szCs w:val="24"/>
              </w:rPr>
            </w:pPr>
            <w:r w:rsidRPr="3C5385F2" w:rsidR="3C5385F2">
              <w:rPr>
                <w:lang w:val="nl-NL"/>
              </w:rPr>
              <w:t>Ecologische waarden,</w:t>
            </w:r>
          </w:p>
          <w:p w:rsidR="3C5385F2" w:rsidP="3C5385F2" w:rsidRDefault="3C5385F2" w14:paraId="5790BEA2" w14:textId="780AAE8F">
            <w:pPr>
              <w:pStyle w:val="Heading3"/>
              <w:rPr>
                <w:rFonts w:ascii="Calibri" w:hAnsi="Calibri" w:eastAsia="Calibri" w:cs="Calibri" w:asciiTheme="minorAscii" w:hAnsiTheme="minorAscii" w:eastAsiaTheme="minorAscii" w:cstheme="minorAscii"/>
                <w:b w:val="0"/>
                <w:bCs w:val="0"/>
                <w:i w:val="0"/>
                <w:iCs w:val="0"/>
                <w:sz w:val="24"/>
                <w:szCs w:val="24"/>
              </w:rPr>
            </w:pPr>
            <w:r w:rsidRPr="3C5385F2" w:rsidR="3C5385F2">
              <w:rPr>
                <w:lang w:val="nl-NL"/>
              </w:rPr>
              <w:t>soortenbescherming</w:t>
            </w:r>
          </w:p>
        </w:tc>
        <w:tc>
          <w:tcPr>
            <w:tcW w:w="5895" w:type="dxa"/>
            <w:tcBorders>
              <w:top w:val="single" w:sz="6"/>
              <w:left w:val="single" w:sz="6"/>
              <w:bottom w:val="single" w:sz="6"/>
              <w:right w:val="single" w:sz="6"/>
            </w:tcBorders>
            <w:tcMar>
              <w:left w:w="105" w:type="dxa"/>
              <w:right w:w="105" w:type="dxa"/>
            </w:tcMar>
            <w:vAlign w:val="top"/>
          </w:tcPr>
          <w:p w:rsidR="3C5385F2" w:rsidP="3C5385F2" w:rsidRDefault="3C5385F2" w14:paraId="32856BA5" w14:textId="73B572E3">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trike w:val="0"/>
                <w:dstrike w:val="0"/>
                <w:sz w:val="24"/>
                <w:szCs w:val="24"/>
                <w:u w:val="single"/>
                <w:lang w:val="nl-NL"/>
              </w:rPr>
              <w:t>Keuze 1.</w:t>
            </w:r>
          </w:p>
          <w:p w:rsidR="3C5385F2" w:rsidP="3C5385F2" w:rsidRDefault="3C5385F2" w14:paraId="08305D51" w14:textId="06489BEE">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Het bijwonen wordt gerealiseerd binnen de bestaande bouwmogelijkheden op het betreffende woonperceel. Deze bouwmogelijkheden zijn eerder al als aanvaardbaar beoordeeld en toelaatbaar geacht. Het realiseren van het bijwonen binnen deze bouwmogelijkheden leidt niet tot extra aantasting van (mogelijk) aanwezige flora en fauna.</w:t>
            </w:r>
          </w:p>
          <w:p w:rsidR="3C5385F2" w:rsidP="3C5385F2" w:rsidRDefault="3C5385F2" w14:paraId="6FDFC7B7" w14:textId="27EDB33E">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trike w:val="0"/>
                <w:dstrike w:val="0"/>
                <w:sz w:val="24"/>
                <w:szCs w:val="24"/>
                <w:u w:val="single"/>
                <w:lang w:val="nl-NL"/>
              </w:rPr>
              <w:t>Keuze 2.</w:t>
            </w:r>
          </w:p>
          <w:p w:rsidR="3C5385F2" w:rsidP="3C5385F2" w:rsidRDefault="3C5385F2" w14:paraId="16171458" w14:textId="332BDC4F">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Het bijwonen wordt gerealiseerd in een tijdelijke woonunit. Deze kan op het perceel geplaatst worden zonder aantasting van de aanwezige flora en fauna.</w:t>
            </w:r>
          </w:p>
          <w:p w:rsidR="3C5385F2" w:rsidP="3C5385F2" w:rsidRDefault="3C5385F2" w14:paraId="7CB03FAE" w14:textId="30DEB257">
            <w:pPr>
              <w:spacing w:line="280" w:lineRule="exact"/>
              <w:rPr>
                <w:rFonts w:ascii="Calibri" w:hAnsi="Calibri" w:eastAsia="Calibri" w:cs="Calibri" w:asciiTheme="minorAscii" w:hAnsiTheme="minorAscii" w:eastAsiaTheme="minorAscii" w:cstheme="minorAscii"/>
                <w:b w:val="0"/>
                <w:bCs w:val="0"/>
                <w:i w:val="0"/>
                <w:iCs w:val="0"/>
                <w:sz w:val="24"/>
                <w:szCs w:val="24"/>
              </w:rPr>
            </w:pPr>
          </w:p>
        </w:tc>
      </w:tr>
      <w:tr w:rsidR="3C5385F2" w:rsidTr="3C5385F2" w14:paraId="1C7C3AF3">
        <w:trPr>
          <w:trHeight w:val="300"/>
        </w:trPr>
        <w:tc>
          <w:tcPr>
            <w:tcW w:w="3165" w:type="dxa"/>
            <w:tcBorders>
              <w:top w:val="single" w:sz="6"/>
              <w:left w:val="single" w:sz="6"/>
              <w:bottom w:val="single" w:sz="6"/>
              <w:right w:val="single" w:sz="6"/>
            </w:tcBorders>
            <w:tcMar>
              <w:left w:w="105" w:type="dxa"/>
              <w:right w:w="105" w:type="dxa"/>
            </w:tcMar>
            <w:vAlign w:val="top"/>
          </w:tcPr>
          <w:p w:rsidR="3C5385F2" w:rsidP="3C5385F2" w:rsidRDefault="3C5385F2" w14:paraId="2753F40D" w14:textId="2D2CE1FB">
            <w:pPr>
              <w:pStyle w:val="Heading3"/>
              <w:rPr>
                <w:rFonts w:ascii="Calibri" w:hAnsi="Calibri" w:eastAsia="Calibri" w:cs="Calibri" w:asciiTheme="minorAscii" w:hAnsiTheme="minorAscii" w:eastAsiaTheme="minorAscii" w:cstheme="minorAscii"/>
                <w:b w:val="0"/>
                <w:bCs w:val="0"/>
                <w:i w:val="0"/>
                <w:iCs w:val="0"/>
                <w:sz w:val="24"/>
                <w:szCs w:val="24"/>
              </w:rPr>
            </w:pPr>
            <w:r w:rsidRPr="3C5385F2" w:rsidR="3C5385F2">
              <w:rPr>
                <w:lang w:val="nl-NL"/>
              </w:rPr>
              <w:t>Groen en landschap</w:t>
            </w:r>
          </w:p>
        </w:tc>
        <w:tc>
          <w:tcPr>
            <w:tcW w:w="5895" w:type="dxa"/>
            <w:tcBorders>
              <w:top w:val="single" w:sz="6"/>
              <w:left w:val="single" w:sz="6"/>
              <w:bottom w:val="single" w:sz="6"/>
              <w:right w:val="single" w:sz="6"/>
            </w:tcBorders>
            <w:tcMar>
              <w:left w:w="105" w:type="dxa"/>
              <w:right w:w="105" w:type="dxa"/>
            </w:tcMar>
            <w:vAlign w:val="top"/>
          </w:tcPr>
          <w:p w:rsidR="3C5385F2" w:rsidP="3C5385F2" w:rsidRDefault="3C5385F2" w14:paraId="19B3C72C" w14:textId="6A80D21F">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trike w:val="0"/>
                <w:dstrike w:val="0"/>
                <w:sz w:val="24"/>
                <w:szCs w:val="24"/>
                <w:u w:val="single"/>
                <w:lang w:val="nl-NL"/>
              </w:rPr>
              <w:t>Keuze 1.</w:t>
            </w:r>
          </w:p>
          <w:p w:rsidR="3C5385F2" w:rsidP="3C5385F2" w:rsidRDefault="3C5385F2" w14:paraId="708A726A" w14:textId="4B6092FA">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Het bijwonen wordt gerealiseerd binnen een bestaand gebouw. Het totale oppervlak van de op het woonperceel aanwezige bebouwing neemt niet toe. Compensatie op basis van de gemeentelijke ‘Groennorm 2.0’ is niet aan de orde.</w:t>
            </w:r>
          </w:p>
          <w:p w:rsidR="3C5385F2" w:rsidP="3C5385F2" w:rsidRDefault="3C5385F2" w14:paraId="58B2E4CC" w14:textId="5457F6C3">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trike w:val="0"/>
                <w:dstrike w:val="0"/>
                <w:sz w:val="24"/>
                <w:szCs w:val="24"/>
                <w:u w:val="single"/>
                <w:lang w:val="nl-NL"/>
              </w:rPr>
              <w:t>Keuze 2.</w:t>
            </w:r>
          </w:p>
          <w:p w:rsidR="3C5385F2" w:rsidP="3C5385F2" w:rsidRDefault="3C5385F2" w14:paraId="587B7ECC" w14:textId="6DB249D7">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Het bijwonen wordt gerealiseerd in een tijdelijke woonunit. Na beëindiging van het bijwonen wordt de tijdelijke woonunit weer verwijderd en ontstaat weer de oorspronkelijke situatie, met het oorspronkelijke totale oppervlak aan bebouwing. Compensatie op basis van de gemeentelijke ‘Groennorm 2.0’ is niet aan de orde.</w:t>
            </w:r>
          </w:p>
          <w:p w:rsidR="3C5385F2" w:rsidP="3C5385F2" w:rsidRDefault="3C5385F2" w14:paraId="07F1B7D7" w14:textId="5CCE308B">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trike w:val="0"/>
                <w:dstrike w:val="0"/>
                <w:sz w:val="24"/>
                <w:szCs w:val="24"/>
                <w:u w:val="single"/>
                <w:lang w:val="nl-NL"/>
              </w:rPr>
              <w:t>Keuze 3.</w:t>
            </w:r>
          </w:p>
          <w:p w:rsidR="3C5385F2" w:rsidP="3C5385F2" w:rsidRDefault="3C5385F2" w14:paraId="7F5DFD49" w14:textId="088715AB">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 xml:space="preserve">Het bijwonen wordt gerealiseerd binnen de bebouwde kom, in een nieuw gebouw, dat op basis van de bouwmogelijkheden in het omgevingsplan gebouwd mag worden. Het totale oppervlak aan bebouwing wijzigt daardoor wel. Voor het extra verharde oppervlak is compensatie op basis van de gemeentelijke ‘Groennorm 2.0’ aan de orde. </w:t>
            </w:r>
          </w:p>
          <w:p w:rsidR="3C5385F2" w:rsidP="3C5385F2" w:rsidRDefault="3C5385F2" w14:paraId="6CE08ABD" w14:textId="5AF990A7">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 xml:space="preserve">De ‘Groennorm 2.0’ en daarbij behorende rekentool zijn terug te vinden op de pagina Beleidsnota’s op de website </w:t>
            </w:r>
            <w:hyperlink r:id="R3b350f66455247af">
              <w:r w:rsidRPr="3C5385F2" w:rsidR="3C5385F2">
                <w:rPr>
                  <w:rStyle w:val="Hyperlink"/>
                  <w:rFonts w:ascii="Calibri" w:hAnsi="Calibri" w:eastAsia="Calibri" w:cs="Calibri" w:asciiTheme="minorAscii" w:hAnsiTheme="minorAscii" w:eastAsiaTheme="minorAscii" w:cstheme="minorAscii"/>
                  <w:b w:val="0"/>
                  <w:bCs w:val="0"/>
                  <w:i w:val="1"/>
                  <w:iCs w:val="1"/>
                  <w:strike w:val="0"/>
                  <w:dstrike w:val="0"/>
                  <w:lang w:val="nl-NL"/>
                </w:rPr>
                <w:t>Beleidsnota's | Gemeente Gemert-Bakel</w:t>
              </w:r>
            </w:hyperlink>
            <w:r w:rsidRPr="3C5385F2" w:rsidR="3C5385F2">
              <w:rPr>
                <w:rFonts w:ascii="Calibri" w:hAnsi="Calibri" w:eastAsia="Calibri" w:cs="Calibri" w:asciiTheme="minorAscii" w:hAnsiTheme="minorAscii" w:eastAsiaTheme="minorAscii" w:cstheme="minorAscii"/>
                <w:b w:val="0"/>
                <w:bCs w:val="0"/>
                <w:i w:val="1"/>
                <w:iCs w:val="1"/>
                <w:sz w:val="24"/>
                <w:szCs w:val="24"/>
                <w:lang w:val="nl-NL"/>
              </w:rPr>
              <w:t>.</w:t>
            </w:r>
          </w:p>
          <w:p w:rsidR="3C5385F2" w:rsidP="3C5385F2" w:rsidRDefault="3C5385F2" w14:paraId="09850D9E" w14:textId="4BB6C97B">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Een beschrijving van de aan te leggen groenvoorzieningen, met berekening van de benodigde compensatiewaarde, heb ik als bijlage toegevoegd.</w:t>
            </w:r>
          </w:p>
          <w:p w:rsidR="3C5385F2" w:rsidP="3C5385F2" w:rsidRDefault="3C5385F2" w14:paraId="0B0B1B24" w14:textId="5D752D70">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trike w:val="0"/>
                <w:dstrike w:val="0"/>
                <w:sz w:val="24"/>
                <w:szCs w:val="24"/>
                <w:u w:val="single"/>
                <w:lang w:val="nl-NL"/>
              </w:rPr>
              <w:t>Keuze 4.</w:t>
            </w:r>
          </w:p>
          <w:p w:rsidR="3C5385F2" w:rsidP="3C5385F2" w:rsidRDefault="3C5385F2" w14:paraId="22BF26A3" w14:textId="24753387">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Het bijwonen wordt gerealiseerd in buiten de bebouwde kom, in een nieuw gebouw, dat op basis van de bouwmogelijkheden in het omgevingsplan gebouwd mag worden. Het totale oppervlak aan bebouwing wijzigt daardoor wel. Voor het extra verharde oppervlak is compensatie op basis van de gemeentelijke ‘Handreiking Kwaliteitsverbetering van het landschap’ aan de orde.</w:t>
            </w:r>
          </w:p>
          <w:p w:rsidR="3C5385F2" w:rsidP="3C5385F2" w:rsidRDefault="3C5385F2" w14:paraId="6F9C4B99" w14:textId="404EFCB1">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 xml:space="preserve">De ‘Handreiking Kwaliteitsverbetering van het landschap’ is terug te vinden op de pagina Beleidsnota’s op de website </w:t>
            </w:r>
            <w:hyperlink r:id="Rcfa6e5d3c5c34129">
              <w:r w:rsidRPr="3C5385F2" w:rsidR="3C5385F2">
                <w:rPr>
                  <w:rStyle w:val="Hyperlink"/>
                  <w:rFonts w:ascii="Calibri" w:hAnsi="Calibri" w:eastAsia="Calibri" w:cs="Calibri" w:asciiTheme="minorAscii" w:hAnsiTheme="minorAscii" w:eastAsiaTheme="minorAscii" w:cstheme="minorAscii"/>
                  <w:b w:val="0"/>
                  <w:bCs w:val="0"/>
                  <w:i w:val="1"/>
                  <w:iCs w:val="1"/>
                  <w:strike w:val="0"/>
                  <w:dstrike w:val="0"/>
                  <w:lang w:val="nl-NL"/>
                </w:rPr>
                <w:t>Beleidsnota's | Gemeente Gemert-Bakel</w:t>
              </w:r>
            </w:hyperlink>
            <w:r w:rsidRPr="3C5385F2" w:rsidR="3C5385F2">
              <w:rPr>
                <w:rFonts w:ascii="Calibri" w:hAnsi="Calibri" w:eastAsia="Calibri" w:cs="Calibri" w:asciiTheme="minorAscii" w:hAnsiTheme="minorAscii" w:eastAsiaTheme="minorAscii" w:cstheme="minorAscii"/>
                <w:b w:val="0"/>
                <w:bCs w:val="0"/>
                <w:i w:val="1"/>
                <w:iCs w:val="1"/>
                <w:sz w:val="24"/>
                <w:szCs w:val="24"/>
                <w:lang w:val="nl-NL"/>
              </w:rPr>
              <w:t>.</w:t>
            </w:r>
          </w:p>
          <w:p w:rsidR="3C5385F2" w:rsidP="3C5385F2" w:rsidRDefault="3C5385F2" w14:paraId="4032E43E" w14:textId="6E1C4195">
            <w:pPr>
              <w:spacing w:line="280" w:lineRule="exact"/>
              <w:rPr>
                <w:rFonts w:ascii="Calibri" w:hAnsi="Calibri" w:eastAsia="Calibri" w:cs="Calibri" w:asciiTheme="minorAscii" w:hAnsiTheme="minorAscii" w:eastAsiaTheme="minorAscii" w:cstheme="minorAscii"/>
                <w:b w:val="0"/>
                <w:bCs w:val="0"/>
                <w:i w:val="0"/>
                <w:iCs w:val="0"/>
                <w:sz w:val="24"/>
                <w:szCs w:val="24"/>
              </w:rPr>
            </w:pPr>
            <w:r w:rsidRPr="3C5385F2" w:rsidR="3C5385F2">
              <w:rPr>
                <w:rFonts w:ascii="Calibri" w:hAnsi="Calibri" w:eastAsia="Calibri" w:cs="Calibri" w:asciiTheme="minorAscii" w:hAnsiTheme="minorAscii" w:eastAsiaTheme="minorAscii" w:cstheme="minorAscii"/>
                <w:b w:val="0"/>
                <w:bCs w:val="0"/>
                <w:i w:val="1"/>
                <w:iCs w:val="1"/>
                <w:sz w:val="24"/>
                <w:szCs w:val="24"/>
                <w:lang w:val="nl-NL"/>
              </w:rPr>
              <w:t>Een beschrijving van de aan te leggen groenvoorzieningen, met berekening van de benodigde compensatiewaarde, heb ik als bijlage toegevoegd.</w:t>
            </w:r>
          </w:p>
          <w:p w:rsidR="3C5385F2" w:rsidP="3C5385F2" w:rsidRDefault="3C5385F2" w14:paraId="5FC431C6" w14:textId="5134811B">
            <w:pPr>
              <w:spacing w:line="280" w:lineRule="exact"/>
              <w:rPr>
                <w:rFonts w:ascii="Calibri" w:hAnsi="Calibri" w:eastAsia="Calibri" w:cs="Calibri" w:asciiTheme="minorAscii" w:hAnsiTheme="minorAscii" w:eastAsiaTheme="minorAscii" w:cstheme="minorAscii"/>
                <w:b w:val="0"/>
                <w:bCs w:val="0"/>
                <w:i w:val="0"/>
                <w:iCs w:val="0"/>
                <w:sz w:val="24"/>
                <w:szCs w:val="24"/>
              </w:rPr>
            </w:pPr>
          </w:p>
        </w:tc>
      </w:tr>
    </w:tbl>
    <w:p xmlns:wp14="http://schemas.microsoft.com/office/word/2010/wordml" w:rsidP="3C5385F2" wp14:paraId="53E2DA53" wp14:textId="333666FD">
      <w:pPr>
        <w:bidi w:val="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5D7038F3" wp14:textId="037A78A1">
      <w:pPr>
        <w:bidi w:val="0"/>
        <w:spacing w:after="0" w:line="280" w:lineRule="exac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r w:rsidRPr="3C5385F2" w:rsidR="0946DAB9">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t>Uit voorgaand overzicht blijkt dat de tijdelijke realisering van het bijwonen geen onaanvaardbaar negatieve effecten op de omgeving van de locatie met zich meebrengt. Er is sprake van een evenwichtige toedeling van functies aan de locatie (ETFAL).</w:t>
      </w:r>
    </w:p>
    <w:p xmlns:wp14="http://schemas.microsoft.com/office/word/2010/wordml" w:rsidP="3C5385F2" wp14:paraId="3CAF452D" wp14:textId="6A18DA45">
      <w:pPr>
        <w:bidi w:val="0"/>
        <w:spacing w:after="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nl-NL"/>
        </w:rPr>
      </w:pPr>
    </w:p>
    <w:p xmlns:wp14="http://schemas.microsoft.com/office/word/2010/wordml" w:rsidP="3C5385F2" wp14:paraId="7B5CAEB5" wp14:textId="79D9A2F8">
      <w:pPr>
        <w:rPr>
          <w:rFonts w:ascii="Calibri" w:hAnsi="Calibri" w:eastAsia="Calibri" w:cs="Calibri" w:asciiTheme="minorAscii" w:hAnsiTheme="minorAscii" w:eastAsiaTheme="minorAscii" w:cstheme="minorAscii"/>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0">
    <w:nsid w:val="11ed0aa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8232d0b"/>
    <w:multiLevelType xmlns:w="http://schemas.openxmlformats.org/wordprocessingml/2006/main" w:val="hybridMultilevel"/>
    <w:lvl xmlns:w="http://schemas.openxmlformats.org/wordprocessingml/2006/main" w:ilvl="0">
      <w:start w:val="2"/>
      <w:numFmt w:val="lowerLetter"/>
      <w:lvlText w:val="%1."/>
      <w:lvlJc w:val="left"/>
      <w:pPr>
        <w:ind w:left="36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5f674e19"/>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a6d70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9cd2366"/>
    <w:multiLevelType xmlns:w="http://schemas.openxmlformats.org/wordprocessingml/2006/main" w:val="hybridMultilevel"/>
    <w:lvl xmlns:w="http://schemas.openxmlformats.org/wordprocessingml/2006/main" w:ilvl="0">
      <w:start w:val="1"/>
      <w:numFmt w:val="lowerLetter"/>
      <w:lvlText w:val="%1."/>
      <w:lvlJc w:val="left"/>
      <w:pPr>
        <w:ind w:left="36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6b6c3b8"/>
    <w:multiLevelType xmlns:w="http://schemas.openxmlformats.org/wordprocessingml/2006/main" w:val="hybridMultilevel"/>
    <w:lvl xmlns:w="http://schemas.openxmlformats.org/wordprocessingml/2006/main" w:ilvl="0">
      <w:start w:val="8"/>
      <w:numFmt w:val="lowerLetter"/>
      <w:lvlText w:val="%1."/>
      <w:lvlJc w:val="left"/>
      <w:pPr>
        <w:ind w:left="36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2651219f"/>
    <w:multiLevelType xmlns:w="http://schemas.openxmlformats.org/wordprocessingml/2006/main" w:val="hybridMultilevel"/>
    <w:lvl xmlns:w="http://schemas.openxmlformats.org/wordprocessingml/2006/main" w:ilvl="0">
      <w:start w:val="1"/>
      <w:numFmt w:val="decimal"/>
      <w:lvlText w:val="%1."/>
      <w:lvlJc w:val="left"/>
      <w:pPr>
        <w:ind w:left="1068"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1f71f11"/>
    <w:multiLevelType xmlns:w="http://schemas.openxmlformats.org/wordprocessingml/2006/main" w:val="hybridMultilevel"/>
    <w:lvl xmlns:w="http://schemas.openxmlformats.org/wordprocessingml/2006/main" w:ilvl="0">
      <w:start w:val="2"/>
      <w:numFmt w:val="lowerLetter"/>
      <w:lvlText w:val="%1."/>
      <w:lvlJc w:val="left"/>
      <w:pPr>
        <w:ind w:left="36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6186b6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Light" w:hAnsi="Calibri Ligh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957069"/>
    <w:multiLevelType xmlns:w="http://schemas.openxmlformats.org/wordprocessingml/2006/main" w:val="hybridMultilevel"/>
    <w:lvl xmlns:w="http://schemas.openxmlformats.org/wordprocessingml/2006/main" w:ilvl="0">
      <w:start w:val="1"/>
      <w:numFmt w:val="lowerLetter"/>
      <w:lvlText w:val="%1."/>
      <w:lvlJc w:val="left"/>
      <w:pPr>
        <w:ind w:left="36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81E8F4"/>
    <w:rsid w:val="024A9079"/>
    <w:rsid w:val="024A9079"/>
    <w:rsid w:val="061528E6"/>
    <w:rsid w:val="0946DAB9"/>
    <w:rsid w:val="0ED938FA"/>
    <w:rsid w:val="3C5385F2"/>
    <w:rsid w:val="5981E8F4"/>
    <w:rsid w:val="5DBB8AD9"/>
    <w:rsid w:val="647216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FF48D"/>
  <w15:chartTrackingRefBased/>
  <w15:docId w15:val="{3B547FF5-7266-464F-82A8-279C0A53132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3C5385F2"/>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3C5385F2"/>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link w:val="Heading3Char"/>
    <w:qFormat/>
    <w:rsid w:val="3C5385F2"/>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3C5385F2"/>
    <w:pPr>
      <w:spacing/>
      <w:ind w:left="720"/>
      <w:contextualSpacing/>
    </w:pPr>
  </w:style>
  <w:style w:type="character" w:styleId="Hyperlink">
    <w:uiPriority w:val="99"/>
    <w:name w:val="Hyperlink"/>
    <w:basedOn w:val="DefaultParagraphFont"/>
    <w:unhideWhenUsed/>
    <w:rsid w:val="3C5385F2"/>
    <w:rPr>
      <w:color w:val="467886"/>
      <w:u w:val="single"/>
    </w:rPr>
  </w:style>
  <w:style w:type="character" w:styleId="Heading3Char" w:customStyle="true">
    <w:uiPriority w:val="9"/>
    <w:name w:val="Heading 3 Char"/>
    <w:basedOn w:val="DefaultParagraphFont"/>
    <w:link w:val="Heading3"/>
    <w:rsid w:val="3C5385F2"/>
    <w:rPr>
      <w:rFonts w:eastAsia="" w:cs="" w:eastAsiaTheme="majorEastAsia" w:cstheme="majorBidi"/>
      <w:color w:val="0F4761" w:themeColor="accent1" w:themeTint="FF" w:themeShade="BF"/>
      <w:sz w:val="28"/>
      <w:szCs w:val="28"/>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153123762" /><Relationship Type="http://schemas.openxmlformats.org/officeDocument/2006/relationships/hyperlink" Target="https://omgevingswet.overheid.nl/aanvragen" TargetMode="External" Id="R53c34ea77ee34f13" /><Relationship Type="http://schemas.openxmlformats.org/officeDocument/2006/relationships/hyperlink" Target="https://www.gemert-bakel.nl/beleidsnotas" TargetMode="External" Id="R2f4691e1e01c4c23" /><Relationship Type="http://schemas.openxmlformats.org/officeDocument/2006/relationships/hyperlink" Target="https://www.gemert-bakel.nl/beleidsnotas" TargetMode="External" Id="R3b350f66455247af" /><Relationship Type="http://schemas.openxmlformats.org/officeDocument/2006/relationships/hyperlink" Target="https://www.gemert-bakel.nl/beleidsnotas" TargetMode="External" Id="Rcfa6e5d3c5c34129" /><Relationship Type="http://schemas.openxmlformats.org/officeDocument/2006/relationships/numbering" Target="numbering.xml" Id="Rbc6a3de2261543d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2026-10-12T12:51:58.8840083Z</dcterms:created>
  <dcterms:modified xsi:type="dcterms:W3CDTF">2026-10-12T12:56:51.1076392Z</dcterms:modified>
  <dc:creator>Aspert van, Linda</dc:creator>
  <lastModifiedBy>Aspert van, Linda</lastModifiedBy>
</coreProperties>
</file>